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33" w:rsidRPr="00B67037" w:rsidRDefault="00B67037" w:rsidP="00B67037">
      <w:pPr>
        <w:jc w:val="center"/>
        <w:rPr>
          <w:rFonts w:ascii="Arial Black" w:hAnsi="Arial Black"/>
          <w:sz w:val="36"/>
        </w:rPr>
      </w:pPr>
      <w:r w:rsidRPr="00B67037">
        <w:rPr>
          <w:rFonts w:ascii="Arial Black" w:hAnsi="Arial Black"/>
          <w:sz w:val="36"/>
        </w:rPr>
        <w:t>PITTURA EGIZIANA</w:t>
      </w:r>
    </w:p>
    <w:p w:rsidR="00B67037" w:rsidRPr="00B67037" w:rsidRDefault="00B67037" w:rsidP="00B67037">
      <w:pPr>
        <w:shd w:val="clear" w:color="auto" w:fill="FFFFFF"/>
        <w:spacing w:after="0" w:line="408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La pittura egizia</w:t>
      </w:r>
      <w:r w:rsidRPr="00B67037"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it-IT"/>
        </w:rPr>
        <w:t>,</w:t>
      </w: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 essenzialmente di tipo funerario, assolve a una funzione prettamente religiosa: i dipinti sono realizzati per ornare templi e camere sepolcrali, in modo da rendere più confortevole la vita ultraterrena del defunto.</w:t>
      </w:r>
    </w:p>
    <w:p w:rsidR="00B67037" w:rsidRPr="00B67037" w:rsidRDefault="00B67037" w:rsidP="00B67037">
      <w:pPr>
        <w:shd w:val="clear" w:color="auto" w:fill="F3F3F3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2857500" cy="1874520"/>
            <wp:effectExtent l="19050" t="0" r="0" b="0"/>
            <wp:docPr id="1" name="Immagine 1" descr="https://www.talepiano.it/wp-content/uploads/2017/11/tomba-tutankamen-300x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lepiano.it/wp-content/uploads/2017/11/tomba-tutankamen-300x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037" w:rsidRPr="00B67037" w:rsidRDefault="00B67037" w:rsidP="00B67037">
      <w:pPr>
        <w:shd w:val="clear" w:color="auto" w:fill="F3F3F3"/>
        <w:spacing w:after="120" w:line="408" w:lineRule="atLeast"/>
        <w:jc w:val="both"/>
        <w:textAlignment w:val="baseline"/>
        <w:rPr>
          <w:rFonts w:ascii="inherit" w:eastAsia="Times New Roman" w:hAnsi="inherit" w:cs="Open Sans"/>
          <w:color w:val="000000"/>
          <w:sz w:val="28"/>
          <w:szCs w:val="28"/>
          <w:lang w:eastAsia="it-IT"/>
        </w:rPr>
      </w:pPr>
      <w:r w:rsidRPr="00B67037">
        <w:rPr>
          <w:rFonts w:ascii="inherit" w:eastAsia="Times New Roman" w:hAnsi="inherit" w:cs="Open Sans"/>
          <w:color w:val="000000"/>
          <w:sz w:val="28"/>
          <w:szCs w:val="28"/>
          <w:lang w:eastAsia="it-IT"/>
        </w:rPr>
        <w:t>Pitture parietali nella tomba del faraone                             Tutankhamon, XIV sec. a.C.</w:t>
      </w:r>
    </w:p>
    <w:p w:rsidR="00B67037" w:rsidRPr="00B67037" w:rsidRDefault="00B67037" w:rsidP="00B67037">
      <w:pPr>
        <w:shd w:val="clear" w:color="auto" w:fill="FFFFFF"/>
        <w:spacing w:after="384" w:line="408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Le immagini più ricorrenti sono  tratte dagli scenari della vita quotidiana, affinché le anime dell’al di là possano averne a mente i ricordi: lavori agricoli e artigianali, ma anche cerimonie e banchetti con suonatori e danzatrici.</w:t>
      </w:r>
    </w:p>
    <w:p w:rsidR="00B67037" w:rsidRPr="00B67037" w:rsidRDefault="00B67037" w:rsidP="00B67037">
      <w:pPr>
        <w:shd w:val="clear" w:color="auto" w:fill="FFFFFF"/>
        <w:spacing w:after="0" w:line="408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Se i soggetti  sono piuttosto variabili, il linguaggio  è invece ben codificato, nonché tramandato da generazione a generazione, in particolare per la </w:t>
      </w:r>
      <w:r w:rsidRPr="00B67037"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it-IT"/>
        </w:rPr>
        <w:t>rappresentazione convenzionale della figura umana</w:t>
      </w: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.</w:t>
      </w:r>
    </w:p>
    <w:p w:rsidR="00B67037" w:rsidRPr="00B67037" w:rsidRDefault="00B67037" w:rsidP="00B67037">
      <w:pPr>
        <w:shd w:val="clear" w:color="auto" w:fill="FFFFFF"/>
        <w:spacing w:after="0" w:line="408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L’obiettivo principale della pittura egizia è fornire ai defunti e alle divinità un’immagine riconoscibile con immediatezza e dunque semplificata in modo elementare. Ecco perché gli uomini sono raffigurati secondo una </w:t>
      </w:r>
      <w:r w:rsidRPr="00B67037"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it-IT"/>
        </w:rPr>
        <w:t>visione schematica “combinata”</w:t>
      </w: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, dove alla visione frontale subentra quella laterale, privilegiando il criterio della migliore visibilità. Il volto è così dipinto di profilo, per mostrare bene la linearità della fronte, del naso e del mento, mentre l’occhio appare tutto intero; il busto è frontale, ma gli arti e i piedi risultano di profilo.</w:t>
      </w:r>
    </w:p>
    <w:p w:rsidR="00B67037" w:rsidRPr="00B67037" w:rsidRDefault="00B67037" w:rsidP="00B67037">
      <w:pPr>
        <w:shd w:val="clear" w:color="auto" w:fill="F3F3F3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noProof/>
          <w:color w:val="000000"/>
          <w:sz w:val="28"/>
          <w:szCs w:val="28"/>
          <w:lang w:eastAsia="it-IT"/>
        </w:rPr>
        <w:lastRenderedPageBreak/>
        <w:drawing>
          <wp:inline distT="0" distB="0" distL="0" distR="0">
            <wp:extent cx="2339340" cy="2857500"/>
            <wp:effectExtent l="19050" t="0" r="3810" b="0"/>
            <wp:docPr id="2" name="Immagine 2" descr="https://www.talepiano.it/wp-content/uploads/2017/11/Ramsete-I-fra-il-dio-Anubi-e-il-dio-Horus-24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alepiano.it/wp-content/uploads/2017/11/Ramsete-I-fra-il-dio-Anubi-e-il-dio-Horus-246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037" w:rsidRPr="00B67037" w:rsidRDefault="00B67037" w:rsidP="00B67037">
      <w:pPr>
        <w:shd w:val="clear" w:color="auto" w:fill="F3F3F3"/>
        <w:spacing w:after="120" w:line="408" w:lineRule="atLeast"/>
        <w:jc w:val="both"/>
        <w:textAlignment w:val="baseline"/>
        <w:rPr>
          <w:rFonts w:ascii="inherit" w:eastAsia="Times New Roman" w:hAnsi="inherit" w:cs="Open Sans"/>
          <w:color w:val="000000"/>
          <w:sz w:val="28"/>
          <w:szCs w:val="28"/>
          <w:lang w:eastAsia="it-IT"/>
        </w:rPr>
      </w:pPr>
      <w:r w:rsidRPr="00B67037">
        <w:rPr>
          <w:rFonts w:ascii="inherit" w:eastAsia="Times New Roman" w:hAnsi="inherit" w:cs="Open Sans"/>
          <w:color w:val="000000"/>
          <w:sz w:val="28"/>
          <w:szCs w:val="28"/>
          <w:lang w:eastAsia="it-IT"/>
        </w:rPr>
        <w:t>Ramsete I tra il dio Anubi e il dio Horus, pittura parietale dalla tomba di Ramsete I</w:t>
      </w:r>
    </w:p>
    <w:p w:rsidR="00B67037" w:rsidRPr="00B67037" w:rsidRDefault="00B67037" w:rsidP="00B67037">
      <w:pPr>
        <w:shd w:val="clear" w:color="auto" w:fill="FFFFFF"/>
        <w:spacing w:after="384" w:line="408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L’esigenza di una rapida fruizione dell’opera spiega anche la scelta di rappresentare le figure maschili con un colore più scuro rispetto a quello utilizzato per le donne, dipinte con una carnagione sensibilmente più chiara.</w:t>
      </w:r>
    </w:p>
    <w:p w:rsidR="00B67037" w:rsidRPr="00B67037" w:rsidRDefault="00B67037" w:rsidP="00B67037">
      <w:pPr>
        <w:shd w:val="clear" w:color="auto" w:fill="FFFFFF"/>
        <w:spacing w:after="0" w:line="408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Si segue, inoltre, in principio di</w:t>
      </w:r>
      <w:r w:rsidRPr="00B67037"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it-IT"/>
        </w:rPr>
        <w:t> gerarchia dimensionale</w:t>
      </w: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, per cui le proporzioni  non sono realistiche, ma obbediscono all’intento di esaltare il potere e la sacralità dei personaggi più importanti. La supremazia del faraone e degli dei è dichiarata dalle loro maggiori dimensioni, ma anche dalla presenza di attributi divini.</w:t>
      </w:r>
    </w:p>
    <w:p w:rsidR="00B67037" w:rsidRPr="00B67037" w:rsidRDefault="00B67037" w:rsidP="00B67037">
      <w:pPr>
        <w:shd w:val="clear" w:color="auto" w:fill="FFFFFF"/>
        <w:spacing w:after="384" w:line="408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Queste modalità rappresentative riguardano la figura umana, mentre per gli altri soggetti si procede con più libertà. Elementi naturalistici, animali e oggetti sono ritratti anche con più attenzione ai dati realistici,  indagati con una maggiore indole inventiva.</w:t>
      </w:r>
    </w:p>
    <w:p w:rsidR="00B67037" w:rsidRPr="00B67037" w:rsidRDefault="00B67037" w:rsidP="00B67037">
      <w:pPr>
        <w:shd w:val="clear" w:color="auto" w:fill="FFFFFF"/>
        <w:spacing w:after="384" w:line="408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Le scelte compositive sono contraddistinte da un’impostazione spiccatamente geometrica. Ne deriva una marcata rigidità bidimensionale dal singolare effetto decorativo.</w:t>
      </w:r>
    </w:p>
    <w:p w:rsidR="00B67037" w:rsidRPr="00B67037" w:rsidRDefault="00B67037" w:rsidP="00B67037">
      <w:pPr>
        <w:shd w:val="clear" w:color="auto" w:fill="F3F3F3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noProof/>
          <w:color w:val="000000"/>
          <w:sz w:val="28"/>
          <w:szCs w:val="28"/>
          <w:lang w:eastAsia="it-IT"/>
        </w:rPr>
        <w:lastRenderedPageBreak/>
        <w:drawing>
          <wp:inline distT="0" distB="0" distL="0" distR="0">
            <wp:extent cx="2857500" cy="2461260"/>
            <wp:effectExtent l="19050" t="0" r="0" b="0"/>
            <wp:docPr id="3" name="Immagine 3" descr="https://www.talepiano.it/wp-content/uploads/2017/11/Tomba-di-Ramsete-I-300x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lepiano.it/wp-content/uploads/2017/11/Tomba-di-Ramsete-I-300x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037" w:rsidRPr="00B67037" w:rsidRDefault="00B67037" w:rsidP="00B67037">
      <w:pPr>
        <w:shd w:val="clear" w:color="auto" w:fill="F3F3F3"/>
        <w:spacing w:after="120" w:line="408" w:lineRule="atLeast"/>
        <w:jc w:val="both"/>
        <w:textAlignment w:val="baseline"/>
        <w:rPr>
          <w:rFonts w:ascii="inherit" w:eastAsia="Times New Roman" w:hAnsi="inherit" w:cs="Open Sans"/>
          <w:color w:val="000000"/>
          <w:sz w:val="28"/>
          <w:szCs w:val="28"/>
          <w:lang w:eastAsia="it-IT"/>
        </w:rPr>
      </w:pPr>
      <w:r w:rsidRPr="00B67037">
        <w:rPr>
          <w:rFonts w:ascii="inherit" w:eastAsia="Times New Roman" w:hAnsi="inherit" w:cs="Open Sans"/>
          <w:color w:val="000000"/>
          <w:sz w:val="28"/>
          <w:szCs w:val="28"/>
          <w:lang w:eastAsia="it-IT"/>
        </w:rPr>
        <w:t>Tomba di Ramsete I, seconda metà del II                          millennio a.C.</w:t>
      </w:r>
    </w:p>
    <w:p w:rsidR="00B67037" w:rsidRPr="00B67037" w:rsidRDefault="00B67037" w:rsidP="00B67037">
      <w:pPr>
        <w:shd w:val="clear" w:color="auto" w:fill="FFFFFF"/>
        <w:spacing w:after="0" w:line="408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I colori, dotati di gran vivacità, sono stesi in modo uniforme, in ampie </w:t>
      </w:r>
      <w:r w:rsidRPr="00B67037">
        <w:rPr>
          <w:rFonts w:ascii="inherit" w:eastAsia="Times New Roman" w:hAnsi="inherit" w:cs="Open Sans"/>
          <w:b/>
          <w:bCs/>
          <w:color w:val="339966"/>
          <w:sz w:val="28"/>
          <w:szCs w:val="28"/>
          <w:lang w:eastAsia="it-IT"/>
        </w:rPr>
        <w:t>campiture</w:t>
      </w: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(*) definite da una marcata linea di contorno nero.</w:t>
      </w:r>
    </w:p>
    <w:p w:rsidR="00B67037" w:rsidRPr="00B67037" w:rsidRDefault="00B67037" w:rsidP="00B67037">
      <w:pPr>
        <w:shd w:val="clear" w:color="auto" w:fill="FFFFFF"/>
        <w:spacing w:after="384" w:line="408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Le tinte si ricavano macinando vari pigmenti poi diluiti con acqua, con l’aggiunta di resine o albume. Si ottiene così una sorta di tempera a colla, molto resistente.</w:t>
      </w:r>
    </w:p>
    <w:p w:rsidR="00B67037" w:rsidRPr="00B67037" w:rsidRDefault="00B67037" w:rsidP="00B67037">
      <w:pPr>
        <w:shd w:val="clear" w:color="auto" w:fill="FFFFFF"/>
        <w:spacing w:after="384" w:line="408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Il pittore  dispone le immagini su un’unica linea ideale, a volte sovrapposta ad altre, in modo da definire uno schema narrativo a fasce orizzontali.</w:t>
      </w:r>
    </w:p>
    <w:p w:rsidR="00B67037" w:rsidRPr="00B67037" w:rsidRDefault="00B67037" w:rsidP="00B67037">
      <w:pPr>
        <w:shd w:val="clear" w:color="auto" w:fill="FFFFFF"/>
        <w:spacing w:after="384" w:line="408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Spesso sullo sfondo vengono inserite anche scritture geroglifiche, che si accompagnano alle scene raffigurate donando un effetto di particolare raffinatezza formale.</w:t>
      </w:r>
    </w:p>
    <w:p w:rsidR="00B67037" w:rsidRPr="00B67037" w:rsidRDefault="00B67037" w:rsidP="00B67037">
      <w:pPr>
        <w:shd w:val="clear" w:color="auto" w:fill="FFFFFF"/>
        <w:spacing w:after="0" w:line="408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</w:pP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Tra le svariate testimonianze pittoriche pervenute su pareti di </w:t>
      </w:r>
      <w:hyperlink r:id="rId7" w:history="1">
        <w:r w:rsidRPr="00B67037">
          <w:rPr>
            <w:rFonts w:ascii="Open Sans" w:eastAsia="Times New Roman" w:hAnsi="Open Sans" w:cs="Open Sans"/>
            <w:color w:val="1B7937"/>
            <w:sz w:val="28"/>
            <w:szCs w:val="28"/>
            <w:lang w:eastAsia="it-IT"/>
          </w:rPr>
          <w:t>templi</w:t>
        </w:r>
      </w:hyperlink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 e di camere sepolcrali,  vanno ricordati i dipinti delle tombe di </w:t>
      </w:r>
      <w:r w:rsidRPr="00B67037"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it-IT"/>
        </w:rPr>
        <w:t>Ramsete I</w:t>
      </w: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  e di</w:t>
      </w:r>
      <w:r w:rsidRPr="00B67037">
        <w:rPr>
          <w:rFonts w:ascii="Open Sans" w:eastAsia="Times New Roman" w:hAnsi="Open Sans" w:cs="Open Sans"/>
          <w:color w:val="0000FF"/>
          <w:sz w:val="28"/>
          <w:szCs w:val="28"/>
          <w:bdr w:val="none" w:sz="0" w:space="0" w:color="auto" w:frame="1"/>
          <w:lang w:eastAsia="it-IT"/>
        </w:rPr>
        <w:t> </w:t>
      </w:r>
      <w:r w:rsidRPr="00B67037">
        <w:rPr>
          <w:rFonts w:ascii="inherit" w:eastAsia="Times New Roman" w:hAnsi="inherit" w:cs="Open Sans"/>
          <w:b/>
          <w:bCs/>
          <w:color w:val="0000FF"/>
          <w:sz w:val="28"/>
          <w:szCs w:val="28"/>
          <w:lang w:eastAsia="it-IT"/>
        </w:rPr>
        <w:t>Tutankhamon </w:t>
      </w: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(*), entrambe situate nella cosiddetta </w:t>
      </w:r>
      <w:r w:rsidRPr="00B67037"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it-IT"/>
        </w:rPr>
        <w:t>Valle dei</w:t>
      </w: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 </w:t>
      </w:r>
      <w:r w:rsidRPr="00B67037"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it-IT"/>
        </w:rPr>
        <w:t>re</w:t>
      </w: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, nei pressi dell’antica città di </w:t>
      </w:r>
      <w:r w:rsidRPr="00B67037"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it-IT"/>
        </w:rPr>
        <w:t>Tebe</w:t>
      </w: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, l’odierna </w:t>
      </w:r>
      <w:r w:rsidRPr="00B67037"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it-IT"/>
        </w:rPr>
        <w:t>Luxor</w:t>
      </w:r>
      <w:r w:rsidRPr="00B67037">
        <w:rPr>
          <w:rFonts w:ascii="Open Sans" w:eastAsia="Times New Roman" w:hAnsi="Open Sans" w:cs="Open Sans"/>
          <w:color w:val="000000"/>
          <w:sz w:val="28"/>
          <w:szCs w:val="28"/>
          <w:lang w:eastAsia="it-IT"/>
        </w:rPr>
        <w:t>, un’area geografica di grande importanza archeologica, in quanto eletta a luogo di sepoltura dei sovrani del Nuovo Regno.</w:t>
      </w:r>
    </w:p>
    <w:p w:rsidR="00B67037" w:rsidRPr="00B67037" w:rsidRDefault="00B67037" w:rsidP="00B67037">
      <w:pPr>
        <w:jc w:val="both"/>
        <w:rPr>
          <w:sz w:val="28"/>
          <w:szCs w:val="28"/>
        </w:rPr>
      </w:pPr>
    </w:p>
    <w:sectPr w:rsidR="00B67037" w:rsidRPr="00B67037" w:rsidSect="00D46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67037"/>
    <w:rsid w:val="00B67037"/>
    <w:rsid w:val="00D4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7037"/>
    <w:rPr>
      <w:b/>
      <w:bCs/>
    </w:rPr>
  </w:style>
  <w:style w:type="paragraph" w:customStyle="1" w:styleId="wp-caption-text">
    <w:name w:val="wp-caption-text"/>
    <w:basedOn w:val="Normale"/>
    <w:rsid w:val="00B6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670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614">
          <w:marLeft w:val="0"/>
          <w:marRight w:val="0"/>
          <w:marTop w:val="0"/>
          <w:marBottom w:val="120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1849708983">
          <w:marLeft w:val="0"/>
          <w:marRight w:val="0"/>
          <w:marTop w:val="0"/>
          <w:marBottom w:val="120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1731728382">
          <w:marLeft w:val="0"/>
          <w:marRight w:val="0"/>
          <w:marTop w:val="0"/>
          <w:marBottom w:val="120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lepiano.it/scacco-allarte-con-la-prof-larchitettura-nellantico-egit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m91</dc:creator>
  <cp:lastModifiedBy>lenovo m91</cp:lastModifiedBy>
  <cp:revision>1</cp:revision>
  <dcterms:created xsi:type="dcterms:W3CDTF">2020-11-14T21:30:00Z</dcterms:created>
  <dcterms:modified xsi:type="dcterms:W3CDTF">2020-11-14T21:31:00Z</dcterms:modified>
</cp:coreProperties>
</file>