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22" w:rsidRPr="009017A1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  <w:r w:rsidRPr="009017A1">
        <w:rPr>
          <w:rFonts w:ascii="Arial" w:hAnsi="Arial" w:cs="Arial"/>
          <w:b/>
          <w:sz w:val="20"/>
          <w:szCs w:val="20"/>
        </w:rPr>
        <w:t>ENCUESTAS APLICANDO ETHOS</w:t>
      </w:r>
    </w:p>
    <w:p w:rsidR="00092B22" w:rsidRPr="009017A1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</w:p>
    <w:p w:rsidR="00092B22" w:rsidRPr="005C47E1" w:rsidRDefault="00092B22" w:rsidP="00092B22">
      <w:pPr>
        <w:jc w:val="both"/>
        <w:rPr>
          <w:rFonts w:ascii="Arial" w:hAnsi="Arial" w:cs="Arial"/>
          <w:b/>
          <w:color w:val="92D050"/>
          <w:sz w:val="20"/>
          <w:szCs w:val="20"/>
        </w:rPr>
      </w:pPr>
      <w:r w:rsidRPr="005C47E1">
        <w:rPr>
          <w:rFonts w:ascii="Arial" w:hAnsi="Arial" w:cs="Arial"/>
          <w:b/>
          <w:color w:val="92D050"/>
          <w:sz w:val="20"/>
          <w:szCs w:val="20"/>
        </w:rPr>
        <w:t>DIMENSION AMBIENTAL</w:t>
      </w:r>
    </w:p>
    <w:p w:rsidR="00092B22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4111"/>
        <w:tblW w:w="9469" w:type="dxa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</w:trPr>
        <w:tc>
          <w:tcPr>
            <w:tcW w:w="9469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ESTADIO 1: La empresa identifica los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403">
              <w:rPr>
                <w:rFonts w:ascii="Arial" w:hAnsi="Arial" w:cs="Arial"/>
                <w:sz w:val="18"/>
                <w:szCs w:val="18"/>
              </w:rPr>
              <w:t>tipos de combustible que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403">
              <w:rPr>
                <w:rFonts w:ascii="Arial" w:hAnsi="Arial" w:cs="Arial"/>
                <w:sz w:val="18"/>
                <w:szCs w:val="18"/>
              </w:rPr>
              <w:t>utiliza en sus operaciones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403">
              <w:rPr>
                <w:rFonts w:ascii="Arial" w:hAnsi="Arial" w:cs="Arial"/>
                <w:sz w:val="18"/>
                <w:szCs w:val="18"/>
              </w:rPr>
              <w:t>adopta medidas de control delas emisiones atmosféricas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403">
              <w:rPr>
                <w:rFonts w:ascii="Arial" w:hAnsi="Arial" w:cs="Arial"/>
                <w:sz w:val="18"/>
                <w:szCs w:val="18"/>
              </w:rPr>
              <w:t>para cumplir con la legislación.</w:t>
            </w:r>
          </w:p>
        </w:tc>
      </w:tr>
      <w:tr w:rsidR="00092B22" w:rsidRPr="00EB1403" w:rsidTr="004A53E4">
        <w:trPr>
          <w:trHeight w:val="270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CUMPLIMIENTO Y/O TRATAMIENTO INICIAL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>37.1.1 La empresa cumple la legislación vigente con relación al control de las emisiones atmosféricas.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 xml:space="preserve">37.1.2 La empresa cuenta con un mapeo de los tipos de combustibles fósiles o no renovables. Como: carbón, </w:t>
            </w:r>
            <w:proofErr w:type="spellStart"/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>diesel</w:t>
            </w:r>
            <w:proofErr w:type="spellEnd"/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>, gasolina, gas natural y otros que utiliza en su proceso productivo.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>37.1.3 La empresa dispon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>e</w:t>
            </w:r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 xml:space="preserve"> de un mapeo de los tipos de combustibles renovables, como por ejemplo,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EB1403">
              <w:rPr>
                <w:rFonts w:ascii="Arial" w:hAnsi="Arial" w:cs="Arial"/>
                <w:color w:val="222425"/>
                <w:sz w:val="18"/>
                <w:szCs w:val="18"/>
              </w:rPr>
              <w:t>etanol, hidrógeno, biomasa u otros, que utiliza en su proceso productivo.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Pr="00251CEF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  <w:r w:rsidRPr="00251CEF">
        <w:rPr>
          <w:rFonts w:ascii="Arial" w:hAnsi="Arial" w:cs="Arial"/>
          <w:b/>
          <w:sz w:val="20"/>
          <w:szCs w:val="20"/>
        </w:rPr>
        <w:t>37.- GESTION DE LAS ACCIONES RELACIONADAS  CON EL CAMBIO CLIMATICO</w:t>
      </w: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17" w:type="dxa"/>
        <w:jc w:val="center"/>
        <w:tblLook w:val="04A0" w:firstRow="1" w:lastRow="0" w:firstColumn="1" w:lastColumn="0" w:noHBand="0" w:noVBand="1"/>
      </w:tblPr>
      <w:tblGrid>
        <w:gridCol w:w="6204"/>
        <w:gridCol w:w="1408"/>
        <w:gridCol w:w="2005"/>
      </w:tblGrid>
      <w:tr w:rsidR="00092B22" w:rsidRPr="00EB1403" w:rsidTr="004A53E4">
        <w:trPr>
          <w:trHeight w:val="203"/>
          <w:jc w:val="center"/>
        </w:trPr>
        <w:tc>
          <w:tcPr>
            <w:tcW w:w="9617" w:type="dxa"/>
            <w:gridSpan w:val="3"/>
          </w:tcPr>
          <w:p w:rsidR="00092B22" w:rsidRPr="0053201C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53201C">
              <w:rPr>
                <w:rFonts w:ascii="Arial" w:hAnsi="Arial" w:cs="Arial"/>
                <w:sz w:val="18"/>
                <w:szCs w:val="18"/>
              </w:rPr>
              <w:t>ESTADIO 2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3201C">
              <w:rPr>
                <w:rFonts w:ascii="Arial" w:hAnsi="Arial" w:cs="Arial"/>
                <w:sz w:val="18"/>
                <w:szCs w:val="18"/>
              </w:rPr>
              <w:t>La empresa analiza e identifica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sz w:val="18"/>
                <w:szCs w:val="18"/>
              </w:rPr>
              <w:t>la cantidad y los tipos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sz w:val="18"/>
                <w:szCs w:val="18"/>
              </w:rPr>
              <w:t>combustibles fósiles y 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sz w:val="18"/>
                <w:szCs w:val="18"/>
              </w:rPr>
              <w:t>renovables, utilizados en sus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sz w:val="18"/>
                <w:szCs w:val="18"/>
              </w:rPr>
              <w:t>operaciones; y busca implementar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sz w:val="18"/>
                <w:szCs w:val="18"/>
              </w:rPr>
              <w:t>acciones que reduzcan la liberación de emisiones nocivas a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3201C">
              <w:rPr>
                <w:rFonts w:ascii="Arial" w:hAnsi="Arial" w:cs="Arial"/>
                <w:sz w:val="18"/>
                <w:szCs w:val="18"/>
              </w:rPr>
              <w:t>la</w:t>
            </w:r>
            <w:proofErr w:type="gramEnd"/>
            <w:r w:rsidRPr="0053201C">
              <w:rPr>
                <w:rFonts w:ascii="Arial" w:hAnsi="Arial" w:cs="Arial"/>
                <w:sz w:val="18"/>
                <w:szCs w:val="18"/>
              </w:rPr>
              <w:t xml:space="preserve"> atmósfera.</w:t>
            </w:r>
          </w:p>
        </w:tc>
      </w:tr>
      <w:tr w:rsidR="00092B22" w:rsidRPr="00EB1403" w:rsidTr="004A53E4">
        <w:trPr>
          <w:trHeight w:val="203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INICIATIVAS Y  PRÁCTICAS</w:t>
            </w:r>
          </w:p>
        </w:tc>
        <w:tc>
          <w:tcPr>
            <w:tcW w:w="1408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 xml:space="preserve">   SI</w:t>
            </w:r>
          </w:p>
        </w:tc>
        <w:tc>
          <w:tcPr>
            <w:tcW w:w="2005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408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37.2.1 La empresa cuenta con un mapeo de la cantidad y tipo de combustibles fósiles y no renovables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utilizados.</w:t>
            </w:r>
          </w:p>
        </w:tc>
        <w:tc>
          <w:tcPr>
            <w:tcW w:w="1408" w:type="dxa"/>
          </w:tcPr>
          <w:p w:rsidR="00092B22" w:rsidRDefault="00092B22" w:rsidP="004A53E4">
            <w:pPr>
              <w:jc w:val="center"/>
            </w:pPr>
            <w:r w:rsidRPr="00DC5E2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5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4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 xml:space="preserve">37.2.2 La empresa realiza el mapeo de la cantidad y tipo de 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>c</w:t>
            </w: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ombustibles renovables utilizados en sus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o</w:t>
            </w: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peraciones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</w:tcPr>
          <w:p w:rsidR="00092B22" w:rsidRDefault="00092B22" w:rsidP="004A53E4">
            <w:pPr>
              <w:jc w:val="center"/>
            </w:pPr>
            <w:r w:rsidRPr="00DC5E2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5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37.2.3 La empresa busca implementar acciones en sus operaciones que buscan reducir  las emisiones.</w:t>
            </w:r>
          </w:p>
        </w:tc>
        <w:tc>
          <w:tcPr>
            <w:tcW w:w="1408" w:type="dxa"/>
          </w:tcPr>
          <w:p w:rsidR="00092B22" w:rsidRDefault="00092B22" w:rsidP="004A53E4">
            <w:pPr>
              <w:jc w:val="center"/>
            </w:pPr>
            <w:r w:rsidRPr="00DC5E2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5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08" w:type="dxa"/>
        <w:jc w:val="center"/>
        <w:tblLook w:val="04A0" w:firstRow="1" w:lastRow="0" w:firstColumn="1" w:lastColumn="0" w:noHBand="0" w:noVBand="1"/>
      </w:tblPr>
      <w:tblGrid>
        <w:gridCol w:w="6204"/>
        <w:gridCol w:w="1400"/>
        <w:gridCol w:w="2004"/>
      </w:tblGrid>
      <w:tr w:rsidR="00092B22" w:rsidRPr="00EB1403" w:rsidTr="004A53E4">
        <w:trPr>
          <w:trHeight w:val="230"/>
          <w:jc w:val="center"/>
        </w:trPr>
        <w:tc>
          <w:tcPr>
            <w:tcW w:w="9608" w:type="dxa"/>
            <w:gridSpan w:val="3"/>
          </w:tcPr>
          <w:p w:rsidR="00092B22" w:rsidRPr="00300070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300070">
              <w:rPr>
                <w:rFonts w:ascii="Arial" w:hAnsi="Arial" w:cs="Arial"/>
                <w:sz w:val="18"/>
                <w:szCs w:val="18"/>
              </w:rPr>
              <w:t>ESTADIO 3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00070">
              <w:rPr>
                <w:rFonts w:ascii="Arial" w:hAnsi="Arial" w:cs="Arial"/>
                <w:sz w:val="18"/>
                <w:szCs w:val="18"/>
              </w:rPr>
              <w:t>La empresa identificó riesgos,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 xml:space="preserve">actuales y futuros,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300070">
              <w:rPr>
                <w:rFonts w:ascii="Arial" w:hAnsi="Arial" w:cs="Arial"/>
                <w:sz w:val="18"/>
                <w:szCs w:val="18"/>
              </w:rPr>
              <w:t>elacionados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con el cambio climático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con el potencial de generar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alteraciones substanciales en sus negocios, facturación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y gastos. Reconoce  que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cambios climáticos están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integrados a su estrategia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negocio. La empresa posee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un compromiso formal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neutralizar la liberación de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00070">
              <w:rPr>
                <w:rFonts w:ascii="Arial" w:hAnsi="Arial" w:cs="Arial"/>
                <w:sz w:val="18"/>
                <w:szCs w:val="18"/>
              </w:rPr>
              <w:t>emisiones</w:t>
            </w:r>
            <w:proofErr w:type="gramEnd"/>
            <w:r w:rsidRPr="00300070">
              <w:rPr>
                <w:rFonts w:ascii="Arial" w:hAnsi="Arial" w:cs="Arial"/>
                <w:sz w:val="18"/>
                <w:szCs w:val="18"/>
              </w:rPr>
              <w:t xml:space="preserve"> directas e indirectas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de Gases de Efecto Invernadero.</w:t>
            </w:r>
          </w:p>
        </w:tc>
      </w:tr>
      <w:tr w:rsidR="00092B22" w:rsidRPr="00EB1403" w:rsidTr="004A53E4">
        <w:trPr>
          <w:trHeight w:val="23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201C">
              <w:rPr>
                <w:rFonts w:ascii="Arial" w:hAnsi="Arial" w:cs="Arial"/>
                <w:sz w:val="18"/>
                <w:szCs w:val="18"/>
              </w:rPr>
              <w:t>POLÍTICAS, PROCEDIMIENTOS Y SISTEMAS DE GESTIÓN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37.3.1 La empresa ha identificado riesgos relacionados con el cambio climático (actual y futuro) que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 xml:space="preserve">tienen potencial de generar cambios sustanciales en  sus negocios, facturación y gastos.  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0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37.3.2 El cambio climático está integrado a su estrategia de negocio.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37.3.3 Las emisiones de dióxido de carbono secuestrado biológicamente son relevantes para su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organización.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53201C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37.3.4 La empresa realiza inventario de emisiones directas e indirectas, como por ejemplo, generación de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electricidad, calor, vapor y otros.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53201C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37.3.5 La empresa posee iniciativas para neutralizar las emisiones de Gases Efecto Invernadero (GEI).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53201C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3201C">
              <w:rPr>
                <w:rFonts w:ascii="Arial" w:hAnsi="Arial" w:cs="Arial"/>
                <w:color w:val="222425"/>
                <w:sz w:val="18"/>
                <w:szCs w:val="18"/>
              </w:rPr>
              <w:t>37.3.6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La empresa cuenta con una apertura </w:t>
            </w: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>e las emisiones Alcance 1 y 2 por unidad de negocio y por tipo de GEI.</w:t>
            </w: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53201C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37.3.7 La empresa posee metas activas de reducción de emisiones (concluida, en curso o cumplimentada)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en el año de referencia.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300070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lastRenderedPageBreak/>
              <w:t>37.3.8 La empresa hace verificación y monitoreo de las emisiones de Alcance 1 y 2.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17"/>
          <w:jc w:val="center"/>
        </w:trPr>
        <w:tc>
          <w:tcPr>
            <w:tcW w:w="6204" w:type="dxa"/>
          </w:tcPr>
          <w:p w:rsidR="00092B22" w:rsidRPr="00300070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37.3.9 La empresa divulga públicamente los resultados de los inventarios de emisiones realizados</w:t>
            </w:r>
          </w:p>
        </w:tc>
        <w:tc>
          <w:tcPr>
            <w:tcW w:w="1400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04" w:type="dxa"/>
        <w:jc w:val="center"/>
        <w:tblLook w:val="04A0" w:firstRow="1" w:lastRow="0" w:firstColumn="1" w:lastColumn="0" w:noHBand="0" w:noVBand="1"/>
      </w:tblPr>
      <w:tblGrid>
        <w:gridCol w:w="5875"/>
        <w:gridCol w:w="1568"/>
        <w:gridCol w:w="1961"/>
      </w:tblGrid>
      <w:tr w:rsidR="00092B22" w:rsidRPr="00EB1403" w:rsidTr="004A53E4">
        <w:trPr>
          <w:trHeight w:val="238"/>
          <w:jc w:val="center"/>
        </w:trPr>
        <w:tc>
          <w:tcPr>
            <w:tcW w:w="9404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300070">
              <w:rPr>
                <w:rFonts w:ascii="Arial" w:hAnsi="Arial" w:cs="Arial"/>
                <w:sz w:val="18"/>
                <w:szCs w:val="18"/>
              </w:rPr>
              <w:t>ESTADIO 4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00070">
              <w:rPr>
                <w:rFonts w:ascii="Arial" w:hAnsi="Arial" w:cs="Arial"/>
                <w:sz w:val="18"/>
                <w:szCs w:val="18"/>
              </w:rPr>
              <w:t>La empresa divulga el  inventario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de otras emisiones indirectas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relevantes de Gases Efecto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Invernadero GEI  (Alcance 3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GHG Protocolo); y hace público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 xml:space="preserve">ese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inventario; establece metas y adopta medidas para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reducción de las emisiones junto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a la cadena de abastecimiento.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La alta administración cuenta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con remuneración ligada 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sz w:val="18"/>
                <w:szCs w:val="18"/>
              </w:rPr>
              <w:t>cumplimiento de estas metas.</w:t>
            </w:r>
          </w:p>
        </w:tc>
      </w:tr>
      <w:tr w:rsidR="00092B22" w:rsidRPr="00EB1403" w:rsidTr="004A53E4">
        <w:trPr>
          <w:trHeight w:val="249"/>
          <w:jc w:val="center"/>
        </w:trPr>
        <w:tc>
          <w:tcPr>
            <w:tcW w:w="5875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070">
              <w:rPr>
                <w:rFonts w:ascii="Arial" w:hAnsi="Arial" w:cs="Arial"/>
                <w:sz w:val="18"/>
                <w:szCs w:val="18"/>
              </w:rPr>
              <w:t>EFICIENCIA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487"/>
          <w:jc w:val="center"/>
        </w:trPr>
        <w:tc>
          <w:tcPr>
            <w:tcW w:w="5875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37.4.1 El uso de productos y servicios de la empresa permite evitar emisiones de terceras partes.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518"/>
          <w:jc w:val="center"/>
        </w:trPr>
        <w:tc>
          <w:tcPr>
            <w:tcW w:w="5875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37.4.2 La empresa tiene métodos para direccionar inversiones en actividades vinculadas a la reducción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300070">
              <w:rPr>
                <w:rFonts w:ascii="Arial" w:hAnsi="Arial" w:cs="Arial"/>
                <w:color w:val="222425"/>
                <w:sz w:val="18"/>
                <w:szCs w:val="18"/>
              </w:rPr>
              <w:t>de emisiones.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87"/>
          <w:jc w:val="center"/>
        </w:trPr>
        <w:tc>
          <w:tcPr>
            <w:tcW w:w="5875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>37.4.3 La empresa realiza el inventario de otras emisiones indirectas, por ejemplo, transporte de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>empleados y viajes de negocio, logística y transporte de productos, entre otros.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87"/>
          <w:jc w:val="center"/>
        </w:trPr>
        <w:tc>
          <w:tcPr>
            <w:tcW w:w="5875" w:type="dxa"/>
          </w:tcPr>
          <w:p w:rsidR="00092B22" w:rsidRPr="005D49DF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>37.4.4 La empresa incentiva a la cadena de abastecimiento a adoptar medidas de reducción de GEI.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87"/>
          <w:jc w:val="center"/>
        </w:trPr>
        <w:tc>
          <w:tcPr>
            <w:tcW w:w="5875" w:type="dxa"/>
          </w:tcPr>
          <w:p w:rsidR="00092B22" w:rsidRPr="005D49DF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>37.4.5 El o los profesional/es encargado/s de las cuestiones referidas a cambio climático se encuentran en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 xml:space="preserve"> una posición elevada de responsabilidad.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87"/>
          <w:jc w:val="center"/>
        </w:trPr>
        <w:tc>
          <w:tcPr>
            <w:tcW w:w="5875" w:type="dxa"/>
          </w:tcPr>
          <w:p w:rsidR="00092B22" w:rsidRPr="005D49DF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>37.4.6 La alta administración de la empresa posee remuneración vinculada a las metas de reducción de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5D49DF">
              <w:rPr>
                <w:rFonts w:ascii="Arial" w:hAnsi="Arial" w:cs="Arial"/>
                <w:color w:val="222425"/>
                <w:sz w:val="18"/>
                <w:szCs w:val="18"/>
              </w:rPr>
              <w:t>GEI e impacto ambiental.</w:t>
            </w:r>
          </w:p>
        </w:tc>
        <w:tc>
          <w:tcPr>
            <w:tcW w:w="156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61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  <w:r w:rsidRPr="00251CEF">
        <w:rPr>
          <w:rFonts w:ascii="Arial" w:hAnsi="Arial" w:cs="Arial"/>
          <w:b/>
          <w:sz w:val="20"/>
          <w:szCs w:val="20"/>
        </w:rPr>
        <w:t>N° 39  SISTEMA DE GESTION AMBIENTAL</w:t>
      </w:r>
    </w:p>
    <w:p w:rsidR="00092B22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AB1067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 xml:space="preserve">ESTADIO 1: </w:t>
            </w:r>
            <w:r w:rsidRPr="00AB1067">
              <w:rPr>
                <w:rFonts w:ascii="Arial" w:hAnsi="Arial" w:cs="Arial"/>
                <w:sz w:val="18"/>
                <w:szCs w:val="18"/>
              </w:rPr>
              <w:t>La empresa cumple la legislación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ambiental que norma cuestiones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y aspectos ligados a su negocio</w:t>
            </w:r>
          </w:p>
          <w:p w:rsidR="00092B22" w:rsidRPr="00AB1067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B1067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proofErr w:type="gramEnd"/>
            <w:r w:rsidRPr="00AB1067">
              <w:rPr>
                <w:rFonts w:ascii="Arial" w:hAnsi="Arial" w:cs="Arial"/>
                <w:sz w:val="18"/>
                <w:szCs w:val="18"/>
              </w:rPr>
              <w:t xml:space="preserve"> instruye a sus empleados 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relación a los impactos ambientales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negativos específicos de su actividad.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sz w:val="18"/>
                <w:szCs w:val="18"/>
              </w:rPr>
              <w:t>Adopta medidas correctivas para los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impactos negativos.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sz w:val="18"/>
                <w:szCs w:val="18"/>
              </w:rPr>
              <w:t>CUMPLIMIENTO Y/O  TRATAMIENTO INICIAL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39.1.1 La empresa respeta las leyes ambientales relacionadas a su negocio.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39.1.2 La empresa alecciona a sus empleados en relación a los impactos ambientales negativos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específicos de sus actividades.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39.1.3 La empresa adopta medidas correctivas de los impactos negativos.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Pr="00251CEF" w:rsidRDefault="00092B22" w:rsidP="00092B2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AB1067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ESTADIO 2 :</w:t>
            </w:r>
            <w:r w:rsidRPr="00EB1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La empresa participa activamente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de iniciativas del poder público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relacionadas a su estrategia y se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sz w:val="18"/>
                <w:szCs w:val="18"/>
              </w:rPr>
              <w:t>Adecua rápidamente a nuevos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acuerdos y reglas ambientales.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También posee conocimiento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sobre nuevas prácticas, lo que 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permite implementar medidas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de prevención, mitigación y compensación de impactos negativos.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sz w:val="18"/>
                <w:szCs w:val="18"/>
              </w:rPr>
              <w:t>INICIATIVAS Y PRÁCTICAS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39.2.1 La empresa participa activamente de iniciativas ambientales.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39.2.2 La empresa busca participar de las iniciativas del poder público que están relacionadas a su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estrategia.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39.2.3 La empresa se adecua rápidamente a nuevos acuerdos y reglas ambientales.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sz w:val="18"/>
                <w:szCs w:val="18"/>
              </w:rPr>
              <w:t>ESTADIO 3</w:t>
            </w:r>
            <w:r>
              <w:rPr>
                <w:rFonts w:ascii="Arial" w:hAnsi="Arial" w:cs="Arial"/>
                <w:sz w:val="18"/>
                <w:szCs w:val="18"/>
              </w:rPr>
              <w:t xml:space="preserve">: La empresa implemento un </w:t>
            </w:r>
            <w:r w:rsidRPr="00AB1067">
              <w:rPr>
                <w:rFonts w:ascii="Arial" w:hAnsi="Arial" w:cs="Arial"/>
                <w:sz w:val="18"/>
                <w:szCs w:val="18"/>
              </w:rPr>
              <w:t>sistema de gestión formal que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incluye monitoreo, reportando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los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principales indicadores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desempeño ambiental. Capacita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sus empleados en lo atinente a los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impactos ambientales asociados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a sus actividades. Elabora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implementa políticas ambientales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y hace mapeo, mitigación/compensación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de los impactos negativos. Divulga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>públicamente sus indicadores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sz w:val="18"/>
                <w:szCs w:val="18"/>
              </w:rPr>
              <w:t xml:space="preserve">desempeño ambiental. 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sz w:val="18"/>
                <w:szCs w:val="18"/>
              </w:rPr>
              <w:t>POLÍTICAS, PROCEDIMIENTOS Y SISTEMAS DE GESTIÓN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39.3.1 La empresa capacita a sus empleados en relación a los impactos ambientales de sus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actividades.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39.3.2 La empresa cuenta con una política ambiental y realiza mapeo, mitigación/compensación de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los impactos negativos.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AB1067">
              <w:rPr>
                <w:rFonts w:ascii="Arial" w:hAnsi="Arial" w:cs="Arial"/>
                <w:color w:val="222425"/>
                <w:sz w:val="18"/>
                <w:szCs w:val="18"/>
              </w:rPr>
              <w:t>39.3.3 La empresa divulga públicamente sus indicadores de desempeño ambiental.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AB1067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39.3.4 La política ambiental de la empresa es avalada por la alta gerencia que se compromete en la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mejora continua.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415F59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415F59">
              <w:rPr>
                <w:rFonts w:ascii="Arial" w:hAnsi="Arial" w:cs="Arial"/>
                <w:sz w:val="18"/>
                <w:szCs w:val="18"/>
              </w:rPr>
              <w:t>ESTADIO 4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15F59">
              <w:rPr>
                <w:rFonts w:ascii="Arial" w:hAnsi="Arial" w:cs="Arial"/>
                <w:sz w:val="18"/>
                <w:szCs w:val="18"/>
              </w:rPr>
              <w:t>El sistema de gestión de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empresa es auditado y certificado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por terceras partes con base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 xml:space="preserve">patrones 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415F59">
              <w:rPr>
                <w:rFonts w:ascii="Arial" w:hAnsi="Arial" w:cs="Arial"/>
                <w:sz w:val="18"/>
                <w:szCs w:val="18"/>
              </w:rPr>
              <w:t>Internacionales. Ese sistema involucra a las partes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interesadas en la definición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medidas de mitigación/compensación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de los impactos negativos, identificando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oportunidades de mejora en sus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procesos. La empresa aplica 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Principio de Precaución.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F59">
              <w:rPr>
                <w:rFonts w:ascii="Arial" w:hAnsi="Arial" w:cs="Arial"/>
                <w:sz w:val="18"/>
                <w:szCs w:val="18"/>
              </w:rPr>
              <w:t>EFICIENCIA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39.4.1 La empresa desarrolla programas que tienen como objetivo la reducción de riesgos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ambientales.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39.4.2 La empresa involucra a las partes interesadas en el proceso de definición de medidas de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mitigación/compensación de impactos negativos.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39.4.3 La empresa posee un proceso estructurado de evaluación de sus  resultados ambientales.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AB1067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39.4.4 La empresa identifica oportunidades de mejora en los procesos de gestión ambiental por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medio de evaluación de resultados.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415F59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39.4.5 La empresa aplica el Principio de Precaución.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415F59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39.4.6 El  sistema de gestión de la empresa es auditado y certificado por tercera parte, con base a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patrones internacionales.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42.- USO SUSTENTABLE DE RECURSOS DE AGUA</w:t>
      </w: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415F59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1: </w:t>
            </w:r>
            <w:r w:rsidRPr="00415F59">
              <w:rPr>
                <w:rFonts w:ascii="Arial" w:hAnsi="Arial" w:cs="Arial"/>
                <w:sz w:val="18"/>
                <w:szCs w:val="18"/>
              </w:rPr>
              <w:t>Sin alterar su patrón tecnológico,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la empresa busca iniciativas para reducir el consumo de agua,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15F59">
              <w:rPr>
                <w:rFonts w:ascii="Arial" w:hAnsi="Arial" w:cs="Arial"/>
                <w:sz w:val="18"/>
                <w:szCs w:val="18"/>
              </w:rPr>
              <w:t>respeta</w:t>
            </w:r>
            <w:proofErr w:type="gramEnd"/>
            <w:r w:rsidRPr="00415F59">
              <w:rPr>
                <w:rFonts w:ascii="Arial" w:hAnsi="Arial" w:cs="Arial"/>
                <w:sz w:val="18"/>
                <w:szCs w:val="18"/>
              </w:rPr>
              <w:t xml:space="preserve"> los límites de extracción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establecidos por la legislación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y/o auto establecidos; así como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cumple los requisitos legales para 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F59">
              <w:rPr>
                <w:rFonts w:ascii="Arial" w:hAnsi="Arial" w:cs="Arial"/>
                <w:sz w:val="18"/>
                <w:szCs w:val="18"/>
              </w:rPr>
              <w:t>destino adecuado de los efluentes.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F59">
              <w:rPr>
                <w:rFonts w:ascii="Arial" w:hAnsi="Arial" w:cs="Arial"/>
                <w:sz w:val="18"/>
                <w:szCs w:val="18"/>
              </w:rPr>
              <w:t>CUMPLIMIENTO Y/O  TRATAMIENTO INICIAL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42.1.1 La empresa cuenta con iniciativas puntuales para la reducción del  consumo de agua.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42.1.2 La empresa respeta los límites de extracción de agua y de autorregulación.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15F59">
              <w:rPr>
                <w:rFonts w:ascii="Arial" w:hAnsi="Arial" w:cs="Arial"/>
                <w:color w:val="222425"/>
                <w:sz w:val="18"/>
                <w:szCs w:val="18"/>
              </w:rPr>
              <w:t>42.1.3 La empresa cumple la legislación de destino adecuado de efluentes.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ESTADIO 2: </w:t>
            </w:r>
            <w:r w:rsidRPr="00F54A76">
              <w:rPr>
                <w:rFonts w:ascii="Arial" w:hAnsi="Arial" w:cs="Arial"/>
                <w:sz w:val="18"/>
                <w:szCs w:val="18"/>
              </w:rPr>
              <w:t>La empresa adopta prácticas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reducción del consumo de agua,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promueve campañas con empleados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para identificar oportunidades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reducción  y realiza acciones puntuales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en algunas unidades/áreas de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organización.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A76">
              <w:rPr>
                <w:rFonts w:ascii="Arial" w:hAnsi="Arial" w:cs="Arial"/>
                <w:sz w:val="18"/>
                <w:szCs w:val="18"/>
              </w:rPr>
              <w:t>INICIATIVAS Y PRÁCTICAS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42.2.1 La empresa realiza campañas con empleados que buscan la disminución del consumo del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agua.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42.2.2 La empresa realiza acciones en algunas unidades/áreas de la organización. Por ejemplo en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la administrativa con el uso de sistemas temporizadores entre otros.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F54A76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3: </w:t>
            </w:r>
            <w:r w:rsidRPr="00F54A76">
              <w:rPr>
                <w:rFonts w:ascii="Arial" w:hAnsi="Arial" w:cs="Arial"/>
                <w:sz w:val="18"/>
                <w:szCs w:val="18"/>
              </w:rPr>
              <w:t>La empresa tiene un sistema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monitoreo continuo del consumo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del agua y generación de efluentes;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54A76">
              <w:rPr>
                <w:rFonts w:ascii="Arial" w:hAnsi="Arial" w:cs="Arial"/>
                <w:sz w:val="18"/>
                <w:szCs w:val="18"/>
              </w:rPr>
              <w:t>y</w:t>
            </w:r>
            <w:proofErr w:type="gramEnd"/>
            <w:r w:rsidRPr="00F54A76">
              <w:rPr>
                <w:rFonts w:ascii="Arial" w:hAnsi="Arial" w:cs="Arial"/>
                <w:sz w:val="18"/>
                <w:szCs w:val="18"/>
              </w:rPr>
              <w:t xml:space="preserve"> realiza esfuerzos para reducir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la intensidad de los impactos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negativos generados por sus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procesos.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821">
              <w:rPr>
                <w:rFonts w:ascii="Arial" w:hAnsi="Arial" w:cs="Arial"/>
                <w:sz w:val="18"/>
                <w:szCs w:val="18"/>
              </w:rPr>
              <w:t>POLÍTICAS, PROCEDIMIENTOS Y SISTEMAS DE GESTIÓN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42.3.1 La empresa tiene indicadores para el monitoreo continuo de su consumo de agua, buscando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su reducción.</w:t>
            </w:r>
          </w:p>
        </w:tc>
        <w:tc>
          <w:tcPr>
            <w:tcW w:w="1417" w:type="dxa"/>
          </w:tcPr>
          <w:p w:rsidR="00092B22" w:rsidRDefault="00092B22" w:rsidP="004A53E4">
            <w:pPr>
              <w:jc w:val="center"/>
            </w:pPr>
            <w:r w:rsidRPr="00276F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42.3.2 La empresa tiene indicadores para monitoreo continuo de su generación de efluentes.</w:t>
            </w:r>
          </w:p>
        </w:tc>
        <w:tc>
          <w:tcPr>
            <w:tcW w:w="1417" w:type="dxa"/>
          </w:tcPr>
          <w:p w:rsidR="00092B22" w:rsidRDefault="00092B22" w:rsidP="004A53E4">
            <w:pPr>
              <w:jc w:val="center"/>
            </w:pPr>
            <w:r w:rsidRPr="00276F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42.3.3 La empresa tiene planes de acción formalizados para reducir el consumo del agua y la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generación de efluentes.</w:t>
            </w:r>
          </w:p>
        </w:tc>
        <w:tc>
          <w:tcPr>
            <w:tcW w:w="1417" w:type="dxa"/>
          </w:tcPr>
          <w:p w:rsidR="00092B22" w:rsidRDefault="00092B22" w:rsidP="004A53E4">
            <w:pPr>
              <w:jc w:val="center"/>
            </w:pPr>
            <w:r w:rsidRPr="00276F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4: </w:t>
            </w:r>
            <w:r w:rsidRPr="00F54A76">
              <w:rPr>
                <w:rFonts w:ascii="Arial" w:hAnsi="Arial" w:cs="Arial"/>
                <w:sz w:val="18"/>
                <w:szCs w:val="18"/>
              </w:rPr>
              <w:t>La empresa ha invertido en 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desarrollo de nuevas tecnologías 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foco en la reducción del consumo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agua y usa su plan de reducción como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referencia para su desarrollo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reformulación de productos,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remuneración y rendición de cuentas.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Realiza inversiones para el reúso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agua o captación de agua de lluvia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sz w:val="18"/>
                <w:szCs w:val="18"/>
              </w:rPr>
              <w:t>para ser utilizada en sus procesos.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A76">
              <w:rPr>
                <w:rFonts w:ascii="Arial" w:hAnsi="Arial" w:cs="Arial"/>
                <w:sz w:val="18"/>
                <w:szCs w:val="18"/>
              </w:rPr>
              <w:t>EFICIENCIA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42.4.1 La empresa realiza inversiones en el desarrollo de nuevas tecnologías, con foco en la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reducción del consumo de agua.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42.4.2 La empresa usa su plan de reducción de consumo de agua como referencia para el desarrollo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y reformulación de productos, remuneraciones de empleados y  rendición de cuentas.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42.4.3 La empresa monitorea el consumo de agua y realiza análisis de reducción de costos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operacionales.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F54A76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42.4.4 La empresa realiza inversiones para reúso del agua o captación de agua de lluvia para ser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F54A76">
              <w:rPr>
                <w:rFonts w:ascii="Arial" w:hAnsi="Arial" w:cs="Arial"/>
                <w:color w:val="222425"/>
                <w:sz w:val="18"/>
                <w:szCs w:val="18"/>
              </w:rPr>
              <w:t>utilizada en sus procesos.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45.- EDUCACIÓN Y CONCIENTIZACION AMBIENTAL</w:t>
      </w: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C70BAB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1: </w:t>
            </w:r>
            <w:r w:rsidRPr="00C70BAB">
              <w:rPr>
                <w:rFonts w:ascii="Arial" w:hAnsi="Arial" w:cs="Arial"/>
                <w:sz w:val="18"/>
                <w:szCs w:val="18"/>
              </w:rPr>
              <w:t>La empresa desarrolla acciones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de educación ambiental y concientización de los  empleados</w:t>
            </w:r>
          </w:p>
          <w:p w:rsidR="00092B22" w:rsidRPr="00C70BAB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C70BAB">
              <w:rPr>
                <w:rFonts w:ascii="Arial" w:hAnsi="Arial" w:cs="Arial"/>
                <w:sz w:val="18"/>
                <w:szCs w:val="18"/>
              </w:rPr>
              <w:t>sobre esa temática, puntualmente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o por presión externa (como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exigencias del gobierno, crisis de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0BAB">
              <w:rPr>
                <w:rFonts w:ascii="Arial" w:hAnsi="Arial" w:cs="Arial"/>
                <w:sz w:val="18"/>
                <w:szCs w:val="18"/>
              </w:rPr>
              <w:t>abastecimientos</w:t>
            </w:r>
            <w:proofErr w:type="gramEnd"/>
            <w:r w:rsidRPr="00C70BAB">
              <w:rPr>
                <w:rFonts w:ascii="Arial" w:hAnsi="Arial" w:cs="Arial"/>
                <w:sz w:val="18"/>
                <w:szCs w:val="18"/>
              </w:rPr>
              <w:t>, etc.).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BAB">
              <w:rPr>
                <w:rFonts w:ascii="Arial" w:hAnsi="Arial" w:cs="Arial"/>
                <w:sz w:val="18"/>
                <w:szCs w:val="18"/>
              </w:rPr>
              <w:t>CUMPLIMIENTO Y/O TRATAMIENTO INICIAL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45.1.1 La empresa realiza acciones  internas de educación ambiental, por ejemplo, campañas para la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reducción del consumo de energía, agua, papel, etc. cuando se soliciten.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45.1.2 La empresa busca concientizar ambientalmente a su público interno informándolo de algunas de las buenas prácticas sobre el tema.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45.1.3 La empresa promueve eventos puntuales para promover la educación y la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concientización ambiental.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2: </w:t>
            </w:r>
            <w:r w:rsidRPr="00C70BAB">
              <w:rPr>
                <w:rFonts w:ascii="Arial" w:hAnsi="Arial" w:cs="Arial"/>
                <w:sz w:val="18"/>
                <w:szCs w:val="18"/>
              </w:rPr>
              <w:t>La empresa promueve 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entrenamiento sobre educación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ambiental enfocado al público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interno, poniendo a disposición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información y promoviendo el debate.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BAB">
              <w:rPr>
                <w:rFonts w:ascii="Arial" w:hAnsi="Arial" w:cs="Arial"/>
                <w:sz w:val="18"/>
                <w:szCs w:val="18"/>
              </w:rPr>
              <w:t>INICIATIVAS Y  PRÁCTICAS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45.2.1 La empresa promueve entrenamiento a los empleados sobre educación ambiental, buscando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mayor compromiso y concientización del público interno.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C70BAB">
              <w:rPr>
                <w:rFonts w:ascii="Arial" w:hAnsi="Arial" w:cs="Arial"/>
                <w:color w:val="222425"/>
                <w:sz w:val="18"/>
                <w:szCs w:val="18"/>
              </w:rPr>
              <w:t>45.2.2 La empresa cuenta con programas formales de capacitación para los empleados en el tema.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3: </w:t>
            </w:r>
            <w:r w:rsidRPr="00C70BAB">
              <w:rPr>
                <w:rFonts w:ascii="Arial" w:hAnsi="Arial" w:cs="Arial"/>
                <w:sz w:val="18"/>
                <w:szCs w:val="18"/>
              </w:rPr>
              <w:t>La empresa elabora y divulga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un programa anual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educación ambiental, desarrolla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sistemáticamente actividades y aborda de forma transversal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el tema en sus entrenamientos y actividades, con el fin de generar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AB">
              <w:rPr>
                <w:rFonts w:ascii="Arial" w:hAnsi="Arial" w:cs="Arial"/>
                <w:sz w:val="18"/>
                <w:szCs w:val="18"/>
              </w:rPr>
              <w:t>cambios en la cultura de la organización.  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665">
              <w:rPr>
                <w:rFonts w:ascii="Arial" w:hAnsi="Arial" w:cs="Arial"/>
                <w:sz w:val="18"/>
                <w:szCs w:val="18"/>
              </w:rPr>
              <w:t>POLÍTICAS, PROCEDIMIENTOS Y  SISTEMAS DE GESTIÓN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45.3.1 La empresa cuenta con un programa formal y continuo de educación y concientización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ambiental, buscando el mayor compromiso del público interno.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45.3.2 La empresa trata obligatoriamente el tema de forma transversal en otros entrenamientos y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actividades de la empresa, incluso en las capacitaciones de ingreso.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4C6665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45.3.3 La empresa aborda en sus entrenamientos o actividades de formación, los impactos de sus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operaciones con foco a la innovación y su reducción, estimulando a todos a identificar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propuestas de cambio.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9" w:type="dxa"/>
        <w:jc w:val="center"/>
        <w:tblLook w:val="04A0" w:firstRow="1" w:lastRow="0" w:firstColumn="1" w:lastColumn="0" w:noHBand="0" w:noVBand="1"/>
      </w:tblPr>
      <w:tblGrid>
        <w:gridCol w:w="6204"/>
        <w:gridCol w:w="1417"/>
        <w:gridCol w:w="1848"/>
      </w:tblGrid>
      <w:tr w:rsidR="00092B22" w:rsidRPr="00EB1403" w:rsidTr="004A53E4">
        <w:trPr>
          <w:trHeight w:val="411"/>
          <w:jc w:val="center"/>
        </w:trPr>
        <w:tc>
          <w:tcPr>
            <w:tcW w:w="9469" w:type="dxa"/>
            <w:gridSpan w:val="3"/>
          </w:tcPr>
          <w:p w:rsidR="00092B22" w:rsidRPr="004C6665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ESTADIO 4: </w:t>
            </w:r>
            <w:r w:rsidRPr="004C6665">
              <w:rPr>
                <w:rFonts w:ascii="Arial" w:hAnsi="Arial" w:cs="Arial"/>
                <w:sz w:val="18"/>
                <w:szCs w:val="18"/>
              </w:rPr>
              <w:t xml:space="preserve">Además de las campañas </w:t>
            </w:r>
            <w:proofErr w:type="spellStart"/>
            <w:r w:rsidRPr="004C6665">
              <w:rPr>
                <w:rFonts w:ascii="Arial" w:hAnsi="Arial" w:cs="Arial"/>
                <w:sz w:val="18"/>
                <w:szCs w:val="18"/>
              </w:rPr>
              <w:t>internas,la</w:t>
            </w:r>
            <w:proofErr w:type="spellEnd"/>
            <w:r w:rsidRPr="004C6665">
              <w:rPr>
                <w:rFonts w:ascii="Arial" w:hAnsi="Arial" w:cs="Arial"/>
                <w:sz w:val="18"/>
                <w:szCs w:val="18"/>
              </w:rPr>
              <w:t xml:space="preserve"> empresa desarrolla campañas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sz w:val="18"/>
                <w:szCs w:val="18"/>
              </w:rPr>
              <w:t>de concientización y educación</w:t>
            </w:r>
          </w:p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6665">
              <w:rPr>
                <w:rFonts w:ascii="Arial" w:hAnsi="Arial" w:cs="Arial"/>
                <w:sz w:val="18"/>
                <w:szCs w:val="18"/>
              </w:rPr>
              <w:t>ambiental</w:t>
            </w:r>
            <w:proofErr w:type="gramEnd"/>
            <w:r w:rsidRPr="004C6665">
              <w:rPr>
                <w:rFonts w:ascii="Arial" w:hAnsi="Arial" w:cs="Arial"/>
                <w:sz w:val="18"/>
                <w:szCs w:val="18"/>
              </w:rPr>
              <w:t xml:space="preserve">  dirigidas a familiares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sz w:val="18"/>
                <w:szCs w:val="18"/>
              </w:rPr>
              <w:t>de empleados, proveedores,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sz w:val="18"/>
                <w:szCs w:val="18"/>
              </w:rPr>
              <w:t>consumidores y clientes, y a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sz w:val="18"/>
                <w:szCs w:val="18"/>
              </w:rPr>
              <w:t>comunidad del entorno inmediato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sz w:val="18"/>
                <w:szCs w:val="18"/>
              </w:rPr>
              <w:t>de la empresa.</w:t>
            </w:r>
          </w:p>
        </w:tc>
      </w:tr>
      <w:tr w:rsidR="00092B22" w:rsidRPr="00EB1403" w:rsidTr="004A53E4">
        <w:trPr>
          <w:trHeight w:val="270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665">
              <w:rPr>
                <w:rFonts w:ascii="Arial" w:hAnsi="Arial" w:cs="Arial"/>
                <w:sz w:val="18"/>
                <w:szCs w:val="18"/>
              </w:rPr>
              <w:t>EFICIENCIA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4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2B22" w:rsidRPr="00EB1403" w:rsidTr="004A53E4">
        <w:trPr>
          <w:trHeight w:val="325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rPr>
                <w:rFonts w:ascii="Arial" w:hAnsi="Arial" w:cs="Arial"/>
                <w:sz w:val="18"/>
                <w:szCs w:val="18"/>
              </w:rPr>
            </w:pP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45.4.1 La empresa aborda el tema en reuniones con proveedores y clientes.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2B22" w:rsidRPr="00EB1403" w:rsidTr="004A53E4">
        <w:trPr>
          <w:trHeight w:val="492"/>
          <w:jc w:val="center"/>
        </w:trPr>
        <w:tc>
          <w:tcPr>
            <w:tcW w:w="6204" w:type="dxa"/>
          </w:tcPr>
          <w:p w:rsidR="00092B22" w:rsidRPr="00EB1403" w:rsidRDefault="00092B22" w:rsidP="004A53E4">
            <w:pPr>
              <w:autoSpaceDE w:val="0"/>
              <w:autoSpaceDN w:val="0"/>
              <w:adjustRightInd w:val="0"/>
              <w:rPr>
                <w:rFonts w:ascii="Arial" w:hAnsi="Arial" w:cs="Arial"/>
                <w:color w:val="222425"/>
                <w:sz w:val="18"/>
                <w:szCs w:val="18"/>
              </w:rPr>
            </w:pP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45.4.2 La empresa realiza eventos de concientización y educación ambiental dirigidos a familiares,</w:t>
            </w:r>
            <w:r>
              <w:rPr>
                <w:rFonts w:ascii="Arial" w:hAnsi="Arial" w:cs="Arial"/>
                <w:color w:val="222425"/>
                <w:sz w:val="18"/>
                <w:szCs w:val="18"/>
              </w:rPr>
              <w:t xml:space="preserve"> </w:t>
            </w:r>
            <w:r w:rsidRPr="004C6665">
              <w:rPr>
                <w:rFonts w:ascii="Arial" w:hAnsi="Arial" w:cs="Arial"/>
                <w:color w:val="222425"/>
                <w:sz w:val="18"/>
                <w:szCs w:val="18"/>
              </w:rPr>
              <w:t>comunidad y otras partes interesadas.</w:t>
            </w:r>
          </w:p>
        </w:tc>
        <w:tc>
          <w:tcPr>
            <w:tcW w:w="1417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092B22" w:rsidRPr="00EB1403" w:rsidRDefault="00092B22" w:rsidP="004A5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092B22" w:rsidRDefault="00092B22" w:rsidP="00092B22">
      <w:pPr>
        <w:jc w:val="both"/>
        <w:rPr>
          <w:rFonts w:ascii="Arial" w:hAnsi="Arial" w:cs="Arial"/>
          <w:sz w:val="20"/>
          <w:szCs w:val="20"/>
        </w:rPr>
      </w:pPr>
    </w:p>
    <w:p w:rsidR="00AA0F01" w:rsidRDefault="00AA0F01">
      <w:bookmarkStart w:id="0" w:name="_GoBack"/>
      <w:bookmarkEnd w:id="0"/>
    </w:p>
    <w:sectPr w:rsidR="00AA0F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22"/>
    <w:rsid w:val="00092B22"/>
    <w:rsid w:val="00AA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403D3-0A53-46F2-9E1D-E158F80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1933</Words>
  <Characters>10633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1</cp:revision>
  <dcterms:created xsi:type="dcterms:W3CDTF">2020-11-15T18:38:00Z</dcterms:created>
  <dcterms:modified xsi:type="dcterms:W3CDTF">2020-11-15T18:49:00Z</dcterms:modified>
</cp:coreProperties>
</file>