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6.3.7 Asunto 5 sobre derechos humanos: discriminación y grupos vulnerables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6.3.7.1 Descripción del asunto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discriminación implica cualquier tipo de distinción, exclusión o preferencia que tiene el efecto de anular la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igualdad de trato o de oportunidades, cuando esa consideración se basa en prejuicios, más que en motivos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legítimos. Los motivos ilegítimos para la discriminación incluyen, entre otros, los siguientes: raza, color,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género, edad, idioma, propiedad, nacionalidad o país de origen, religión, etnia o procedencia social, casta,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motivos económicos, discapacidad, embarazo, pertenencia a un pueblo indígena, afiliación a un sindicato,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afiliación política u opiniones políticas o de otro tipo. Entre los motivos prohibidos emergentes se incluyen el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estado civil o situación familiar, las relaciones personales y el estado de salud como, por ejemplo, ser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portador o padecer VIH/SIDA (HIV/AIDS, por sus siglas en inglés). La prohibición de discriminar constituye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 xml:space="preserve">uno de los principios fundamentales del derecho internacional en materia de derechos humanos </w:t>
      </w:r>
      <w:r>
        <w:rPr>
          <w:rFonts w:ascii="Arial" w:hAnsi="Arial" w:cs="Arial"/>
          <w:sz w:val="13"/>
          <w:szCs w:val="13"/>
          <w:lang w:val="es-EC"/>
        </w:rPr>
        <w:t>[71] [78] [133] [134]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13"/>
          <w:szCs w:val="13"/>
          <w:lang w:val="es-EC"/>
        </w:rPr>
        <w:t>[136] [137] [138] [139] [141] [143] [149] [150] [156]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participación e inclusión totales y efectivas de todos los grupos en la sociedad, incluidos los grupos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vulnerables, ofrece y aumenta las oportunidades de todas las organizaciones y de las personas afectadas.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tiene mucho que ganar si opta por un enfoque activo que asegure la igualdad de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oportunidades y el respeto para todos los individuos.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grupos que han sufrido una discriminación permanente que les ha generado desventajas arraigadas, son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vulnerables a sufrir nuevas discriminaciones, por lo que las organizaciones deberían poner mayor atención en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sus derechos humanos, en términos de protegerlos y respetarlos. Mientras que por grupos vulnerables se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entiende típicamente aquellos descritos en el apartado 6.3.7.2, podría haber otros grupos vulnerables dentro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de la comunidad particular en la que opera una organización.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discriminación también puede ser indirecta. Esto ocurre cuando una disposición, criterio o práctica,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aparentemente imparcial, pone a personas con un atributo singular, en desventaja, en comparación con otras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personas, salvo que esa disposición, criterio o práctica se encuentre justificado objetivamente por un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propósito legítimo y los medios para lograr ese propósito sean adecuados y necesarios.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6.3.7.2 Acciones y expectativas relacionadas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debería hacer un esfuerzo para asegurar que no discrimina a sus empleados, socios,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clientes, partes interesadas, miembros, ni a nadie con quien tenga algún tipo de contacto o a quién pueda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producir un impacto.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debería examinar sus propias operaciones y las operaciones de otras partes dentro de su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esfera de influencia, para determinar si existe discriminación directa o indirecta. También debería asegurar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que no contribuye al ejercicio de prácticas discriminatorias a través de las relaciones ligadas a sus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actividades. Si éste fuera el caso, una organización debería animar y ayudar a las demás partes en su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responsabilidad de prevenir la discriminación. Si ello careciera de éxito, debería reconsiderar su relación con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ese tipo de organizaciones. Podría, por ejemplo, analizar las formas típicas en las que interactúa con las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 xml:space="preserve">mujeres, en comparación con los hombres, y considerar si las políticas y decisiones en </w:t>
      </w:r>
      <w:r>
        <w:rPr>
          <w:rFonts w:ascii="Arial" w:hAnsi="Arial" w:cs="Arial"/>
          <w:sz w:val="20"/>
          <w:szCs w:val="20"/>
          <w:lang w:val="es-EC"/>
        </w:rPr>
        <w:t>este sentido</w:t>
      </w:r>
      <w:r>
        <w:rPr>
          <w:rFonts w:ascii="Arial" w:hAnsi="Arial" w:cs="Arial"/>
          <w:sz w:val="20"/>
          <w:szCs w:val="20"/>
          <w:lang w:val="es-EC"/>
        </w:rPr>
        <w:t xml:space="preserve"> son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objetivas o reflejan prejuicios estereotipados. Podría desear buscar el asesoramiento de organizaciones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locales o internacionales con experiencia en derechos humanos. Una organización podría guiarse por las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conclusiones y recomendaciones resultantes de procesos de seguimiento e investigación nacionales o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internacionales.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debería considerar la posibilidad de facilitar a los miembros de grupos vulnerables la toma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de conciencia sobre sus derechos.</w:t>
      </w:r>
    </w:p>
    <w:p w:rsidR="006E221B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también debería contribuir a compensar una situación de discriminación o el legado de una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discriminación pasada, si fuera posible. Por ejemplo, debería esforzarse por emplear o hacer negocios con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organizaciones en las que operan personas de grupos históricamente discriminados de forma negativa; en la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medida de lo posible, debería apoyar los esfuerzos dirigidos a aumentar el acceso a la educación,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infraestructura o servicios sociales de grupos a los que se les ha negado un acceso total.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puede adoptar una visión positiva y constructiva de la diversidad entre las personas con las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que interactúa. Podría considerar, no solamente los aspectos de derechos humanos, sino también las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ganancias para sus propias operaciones en términos de valor añadido, a través del pleno desarrollo de los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recursos y relaciones humanas que encierran múltiples facetas.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lastRenderedPageBreak/>
        <w:t>Los siguientes ejemplos de grupos vulnerables se describen junto con las acciones y expectativas específicas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EC"/>
        </w:rPr>
        <w:t>relacionadas: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Las mujeres y </w:t>
      </w:r>
      <w:r>
        <w:rPr>
          <w:rFonts w:ascii="Arial" w:hAnsi="Arial" w:cs="Arial"/>
          <w:sz w:val="20"/>
          <w:szCs w:val="20"/>
          <w:lang w:val="es-EC"/>
        </w:rPr>
        <w:t xml:space="preserve">las 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niñas </w:t>
      </w:r>
      <w:r>
        <w:rPr>
          <w:rFonts w:ascii="Arial" w:hAnsi="Arial" w:cs="Arial"/>
          <w:sz w:val="20"/>
          <w:szCs w:val="20"/>
          <w:lang w:val="es-EC"/>
        </w:rPr>
        <w:t>constituyen la mitad de la población mundial, y sin embargo frecuentemente, se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les niega el acceso a recursos y oportunidades en igualdad de condiciones con los hombres y los niños.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mujeres tienen derecho a disfrutar de todos los derechos humanos, sin sufrir discriminación, en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educación, empleo y actividades económicas y sociales, así como el derecho a decidir respecto del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matrimonio y temas familiares y el derecho a tomar decisiones sobre su propia salud reproductiva. Las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políticas y actividades de una organización deberían guardar el debido respeto por los derechos de las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mujeres y promover el tratamiento igualitario de hombres y mujeres en las esferas económica, social y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política </w:t>
      </w:r>
      <w:r>
        <w:rPr>
          <w:rFonts w:ascii="Arial" w:hAnsi="Arial" w:cs="Arial"/>
          <w:sz w:val="13"/>
          <w:szCs w:val="13"/>
          <w:lang w:val="es-EC"/>
        </w:rPr>
        <w:t>[133] [149]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Las personas con discapacidad </w:t>
      </w:r>
      <w:r>
        <w:rPr>
          <w:rFonts w:ascii="Arial" w:hAnsi="Arial" w:cs="Arial"/>
          <w:sz w:val="20"/>
          <w:szCs w:val="20"/>
          <w:lang w:val="es-EC"/>
        </w:rPr>
        <w:t>son a menudo vulnerables, en parte porque se tiene un concepto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erróneo de sus habilidades y capacidades. Una organización debería contribuir a garantizar que se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otorgue dignidad, autonomía y plena participación en la sociedad a hombres y mujeres con discapacidad.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El principio de no-discriminación debería respetarse y las organizaciones deberían considerar llevar 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cabo las disposiciones razonables para la accesibilidad de sus instalaciones.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Los niños </w:t>
      </w:r>
      <w:r>
        <w:rPr>
          <w:rFonts w:ascii="Arial" w:hAnsi="Arial" w:cs="Arial"/>
          <w:sz w:val="20"/>
          <w:szCs w:val="20"/>
          <w:lang w:val="es-EC"/>
        </w:rPr>
        <w:t>son especialmente vulnerables, en parte debido a su condición de dependientes. Al tomar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medidas que puedan afectar a los niños, la consideración primordial debería centrarse en los intereses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del niño. Siempre se deberían respetar y tener en cuenta los principios de la Convención sobre los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Derechos del Niño, que incluyen la no-discriminación, el derecho del niño a la vida, a la supervivencia, al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desarrollo y a la libre expresión </w:t>
      </w:r>
      <w:r>
        <w:rPr>
          <w:rFonts w:ascii="Arial" w:hAnsi="Arial" w:cs="Arial"/>
          <w:sz w:val="13"/>
          <w:szCs w:val="13"/>
          <w:lang w:val="es-EC"/>
        </w:rPr>
        <w:t>[81] [82] [116] [117] [135] [147] [148]</w:t>
      </w:r>
      <w:r>
        <w:rPr>
          <w:rFonts w:ascii="Arial" w:hAnsi="Arial" w:cs="Arial"/>
          <w:sz w:val="20"/>
          <w:szCs w:val="20"/>
          <w:lang w:val="es-EC"/>
        </w:rPr>
        <w:t>. Las organizaciones deberían contar con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políticas para prevenir que sus empleados se involucren en la explotación sexual de los niños y en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cualquier otro tipo de explotación de los mismos.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Los pueblos indígenas </w:t>
      </w:r>
      <w:r>
        <w:rPr>
          <w:rFonts w:ascii="Arial" w:hAnsi="Arial" w:cs="Arial"/>
          <w:sz w:val="20"/>
          <w:szCs w:val="20"/>
          <w:lang w:val="es-EC"/>
        </w:rPr>
        <w:t>pueden considerarse un grupo vulnerable que ha sufrido una discriminación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sistemática que ha incluido la colonización, desposesión de sus tierras, un estatus diferente del resto de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ciudadanos y violaciones de sus derechos humanos. Los pueblos indígenas disfrutan de derechos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colectivos, y los individuos pertenecientes a pueblos indígenas comparten los derechos humanos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universales, en particular el derecho a la igualdad de trato y de oportunidades. Los derechos colectivos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incluyen: autodeterminación (que se refiere al derecho a determinar su identidad, su estado político y la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forma en que quieren desarrollarse); acceso y gestión de sus territorios tradicionales, agua y recursos;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mantenimiento y disfrute de sus costumbres, cultura, idioma y conocimiento tradicional, libre de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discriminación; y la gestión de su propiedad intelectual y cultural </w:t>
      </w:r>
      <w:r>
        <w:rPr>
          <w:rFonts w:ascii="Arial" w:hAnsi="Arial" w:cs="Arial"/>
          <w:sz w:val="13"/>
          <w:szCs w:val="13"/>
          <w:lang w:val="es-EC"/>
        </w:rPr>
        <w:t>[75] [154]</w:t>
      </w:r>
      <w:r>
        <w:rPr>
          <w:rFonts w:ascii="Arial" w:hAnsi="Arial" w:cs="Arial"/>
          <w:sz w:val="20"/>
          <w:szCs w:val="20"/>
          <w:lang w:val="es-EC"/>
        </w:rPr>
        <w:t>. Una organización debería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reconocer y respetar los derechos de los pueblos indígenas cuando lleve a cabo sus decisiones y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actividades. Una organización debería reconocer y respetar el principio de no-discriminación y los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derechos de los individuos que pertenecen a un pueblo indígena, al llevar a cabo sus decisiones y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actividades.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Los migrantes y los trabajadores migrantes </w:t>
      </w:r>
      <w:r>
        <w:rPr>
          <w:rFonts w:ascii="Arial" w:hAnsi="Arial" w:cs="Arial"/>
          <w:sz w:val="20"/>
          <w:szCs w:val="20"/>
          <w:lang w:val="es-EC"/>
        </w:rPr>
        <w:t>y sus familias, también podrían ser vulnerables debido a</w:t>
      </w:r>
      <w:r>
        <w:rPr>
          <w:rFonts w:ascii="Arial" w:hAnsi="Arial" w:cs="Arial"/>
          <w:sz w:val="20"/>
          <w:szCs w:val="20"/>
          <w:lang w:val="es-EC"/>
        </w:rPr>
        <w:t xml:space="preserve"> </w:t>
      </w:r>
      <w:r>
        <w:rPr>
          <w:rFonts w:ascii="Arial" w:hAnsi="Arial" w:cs="Arial"/>
          <w:sz w:val="20"/>
          <w:szCs w:val="20"/>
          <w:lang w:val="es-EC"/>
        </w:rPr>
        <w:t>su origen extranjero o regional, particularmente si son migrantes irregulares o indocumentados. Una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debería respetar sus derechos y contribuir a promover un clima de respeto a los derechos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humanos de los migrantes, trabajadores migrantes y sus familias </w:t>
      </w:r>
      <w:r>
        <w:rPr>
          <w:rFonts w:ascii="Arial" w:hAnsi="Arial" w:cs="Arial"/>
          <w:sz w:val="13"/>
          <w:szCs w:val="13"/>
          <w:lang w:val="es-EC"/>
        </w:rPr>
        <w:t>[78] [79] [80] [142]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>Las personas discriminadas negativamente por razón de su ascendencia, incluida su casta.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Cientos de millones de personas sufren discriminación por su condición hereditaria o ascendencia. Esta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forma de discriminación está basada en un histórico de abusos de los derechos, que se justifica por la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idea equivocada de que algunas personas se consideran impuras o menos valiosas por el grupo en el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que nacieron. Una organización debería evitar tales prácticas y, cuando sea posible, contribuir a la</w:t>
      </w:r>
    </w:p>
    <w:p w:rsidR="00C74393" w:rsidRDefault="00C74393" w:rsidP="00C74393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eliminación de dichos prejuicios.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Las personas discriminadas negativamente por razón de su raza. </w:t>
      </w:r>
      <w:r>
        <w:rPr>
          <w:rFonts w:ascii="Arial" w:hAnsi="Arial" w:cs="Arial"/>
          <w:sz w:val="20"/>
          <w:szCs w:val="20"/>
          <w:lang w:val="es-EC"/>
        </w:rPr>
        <w:t>Hay personas que sufren una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discriminación negativa por su raza, identidad cultural y origen étnico. Existe un histórico de abusos de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derechos, que se justifica por la idea equivocada de que algunas personas son inferiores por su color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piel o su cultura. A menudo el racismo está presente en regiones que históricamente han sufrido la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esclavitud o la opresión de un grupo racial sobre otro </w:t>
      </w:r>
      <w:r>
        <w:rPr>
          <w:rFonts w:ascii="Arial" w:hAnsi="Arial" w:cs="Arial"/>
          <w:sz w:val="13"/>
          <w:szCs w:val="13"/>
          <w:lang w:val="es-EC"/>
        </w:rPr>
        <w:t>[141] [150] [156]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C74393" w:rsidRDefault="00C74393" w:rsidP="00C74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,Bold" w:hAnsi="Arial,Bold" w:cs="Arial,Bold"/>
          <w:b/>
          <w:bCs/>
          <w:sz w:val="20"/>
          <w:szCs w:val="20"/>
          <w:lang w:val="es-EC"/>
        </w:rPr>
        <w:t xml:space="preserve">Otros grupos vulnerables </w:t>
      </w:r>
      <w:r>
        <w:rPr>
          <w:rFonts w:ascii="Arial" w:hAnsi="Arial" w:cs="Arial"/>
          <w:sz w:val="20"/>
          <w:szCs w:val="20"/>
          <w:lang w:val="es-EC"/>
        </w:rPr>
        <w:t>incluyen, por ejemplo, los ancianos, los desplazados, los pobres, los</w:t>
      </w:r>
    </w:p>
    <w:p w:rsidR="00C74393" w:rsidRPr="00C74393" w:rsidRDefault="00C74393" w:rsidP="00C74393">
      <w:pPr>
        <w:rPr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analfabetos, las personas portadoras o que padecen el VIH/SIDA y las minorías y los grupos religiosos.</w:t>
      </w:r>
    </w:p>
    <w:sectPr w:rsidR="00C74393" w:rsidRPr="00C74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3"/>
    <w:rsid w:val="006E221B"/>
    <w:rsid w:val="00C7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81E77"/>
  <w15:chartTrackingRefBased/>
  <w15:docId w15:val="{3254D444-854C-4196-9993-6DC6BEC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1474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2020-11-08T23:42:00Z</dcterms:created>
  <dcterms:modified xsi:type="dcterms:W3CDTF">2020-11-08T23:45:00Z</dcterms:modified>
</cp:coreProperties>
</file>