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7F" w:rsidRPr="00250E4A" w:rsidRDefault="0026057F" w:rsidP="0026057F">
      <w:pPr>
        <w:rPr>
          <w:lang w:val="es-ES_tradnl"/>
        </w:rPr>
      </w:pPr>
      <w:r w:rsidRPr="0086341F">
        <w:rPr>
          <w:rFonts w:eastAsia="Arial Unicode MS"/>
          <w:szCs w:val="24"/>
          <w:lang w:val="es-ES_tradnl" w:eastAsia="es-ES"/>
        </w:rPr>
        <w:t>Datos</w:t>
      </w:r>
      <w:r>
        <w:rPr>
          <w:rFonts w:eastAsia="Arial Unicode MS"/>
          <w:szCs w:val="24"/>
          <w:lang w:val="es-ES_tradnl" w:eastAsia="es-ES"/>
        </w:rPr>
        <w:fldChar w:fldCharType="begin"/>
      </w:r>
      <w:r>
        <w:instrText xml:space="preserve"> XE "</w:instrText>
      </w:r>
      <w:r w:rsidRPr="007064C0">
        <w:rPr>
          <w:rFonts w:eastAsia="Arial Unicode MS"/>
          <w:szCs w:val="24"/>
          <w:lang w:val="es-ES_tradnl" w:eastAsia="es-ES"/>
        </w:rPr>
        <w:instrText>Datos</w:instrText>
      </w:r>
      <w:r>
        <w:instrText>" \t "</w:instrText>
      </w:r>
      <w:r w:rsidRPr="00833432">
        <w:rPr>
          <w:rFonts w:ascii="Calibri" w:hAnsi="Calibri" w:cs="Calibri"/>
          <w:i/>
        </w:rPr>
        <w:instrText>Véase</w:instrText>
      </w:r>
      <w:r w:rsidRPr="00833432">
        <w:rPr>
          <w:rFonts w:ascii="Calibri" w:hAnsi="Calibri" w:cs="Calibri"/>
        </w:rPr>
        <w:instrText xml:space="preserve"> página 30</w:instrText>
      </w:r>
      <w:r>
        <w:instrText xml:space="preserve">" </w:instrText>
      </w:r>
      <w:r>
        <w:rPr>
          <w:rFonts w:eastAsia="Arial Unicode MS"/>
          <w:szCs w:val="24"/>
          <w:lang w:val="es-ES_tradnl" w:eastAsia="es-ES"/>
        </w:rPr>
        <w:fldChar w:fldCharType="end"/>
      </w:r>
      <w:r w:rsidRPr="00250E4A">
        <w:rPr>
          <w:rFonts w:eastAsia="Arial Unicode MS"/>
          <w:b/>
          <w:i/>
          <w:szCs w:val="24"/>
          <w:lang w:val="es-ES_tradnl" w:eastAsia="es-ES"/>
        </w:rPr>
        <w:t xml:space="preserve"> </w:t>
      </w:r>
      <w:r w:rsidRPr="00250E4A">
        <w:rPr>
          <w:lang w:val="es-ES_tradnl"/>
        </w:rPr>
        <w:t>(Abela, García Nieto y Pérez Corbacho 2007</w:t>
      </w:r>
      <w:r>
        <w:rPr>
          <w:lang w:val="es-ES_tradnl"/>
        </w:rPr>
        <w:t>, 165</w:t>
      </w:r>
      <w:r w:rsidRPr="00250E4A">
        <w:rPr>
          <w:lang w:val="es-ES_tradnl"/>
        </w:rPr>
        <w:t>)</w:t>
      </w:r>
    </w:p>
    <w:p w:rsidR="0026057F" w:rsidRPr="00250E4A" w:rsidRDefault="0026057F" w:rsidP="0026057F">
      <w:pPr>
        <w:rPr>
          <w:lang w:val="es-ES_tradnl" w:eastAsia="es-ES"/>
        </w:rPr>
      </w:pPr>
      <w:r w:rsidRPr="00250E4A">
        <w:rPr>
          <w:lang w:val="es-ES_tradnl" w:eastAsia="es-ES"/>
        </w:rPr>
        <w:t xml:space="preserve">“Entrevistas, </w:t>
      </w:r>
      <w:r w:rsidRPr="00FA704D">
        <w:rPr>
          <w:b/>
          <w:lang w:val="es-ES_tradnl" w:eastAsia="es-ES"/>
        </w:rPr>
        <w:t>notas de campo</w:t>
      </w:r>
      <w:r w:rsidRPr="00250E4A">
        <w:rPr>
          <w:lang w:val="es-ES_tradnl" w:eastAsia="es-ES"/>
        </w:rPr>
        <w:t xml:space="preserve"> de observaciones, periódicos, memorandos, manuales, catálogos y otros materiales escritos o visuales (Strauss y Corbin 1998</w:t>
      </w:r>
      <w:r>
        <w:rPr>
          <w:lang w:val="es-ES_tradnl" w:eastAsia="es-ES"/>
        </w:rPr>
        <w:t>,</w:t>
      </w:r>
      <w:r w:rsidRPr="00250E4A">
        <w:rPr>
          <w:lang w:val="es-ES_tradnl" w:eastAsia="es-ES"/>
        </w:rPr>
        <w:t xml:space="preserve"> 58)”</w:t>
      </w:r>
      <w:r>
        <w:rPr>
          <w:lang w:val="es-ES_tradnl" w:eastAsia="es-ES"/>
        </w:rPr>
        <w:t>.</w:t>
      </w:r>
    </w:p>
    <w:p w:rsidR="0026057F" w:rsidRPr="00250E4A" w:rsidRDefault="00CC458A" w:rsidP="0026057F">
      <w:pPr>
        <w:rPr>
          <w:lang w:val="es-ES_tradnl" w:eastAsia="es-ES"/>
        </w:rPr>
      </w:pPr>
      <w:r>
        <w:rPr>
          <w:lang w:val="es-ES_tradnl" w:eastAsia="es-ES"/>
        </w:rPr>
        <w:t>…</w:t>
      </w:r>
      <w:r w:rsidR="0026057F" w:rsidRPr="00250E4A">
        <w:rPr>
          <w:lang w:val="es-ES_tradnl" w:eastAsia="es-ES"/>
        </w:rPr>
        <w:t>la documentación y</w:t>
      </w:r>
      <w:r w:rsidR="0026057F">
        <w:rPr>
          <w:lang w:val="es-ES_tradnl" w:eastAsia="es-ES"/>
        </w:rPr>
        <w:t xml:space="preserve"> la</w:t>
      </w:r>
      <w:r w:rsidR="0026057F" w:rsidRPr="00250E4A">
        <w:rPr>
          <w:lang w:val="es-ES_tradnl" w:eastAsia="es-ES"/>
        </w:rPr>
        <w:t xml:space="preserve"> literatura académica, relacionada</w:t>
      </w:r>
      <w:r w:rsidR="0026057F">
        <w:rPr>
          <w:lang w:val="es-ES_tradnl" w:eastAsia="es-ES"/>
        </w:rPr>
        <w:t>s</w:t>
      </w:r>
      <w:r w:rsidR="0026057F" w:rsidRPr="00250E4A">
        <w:rPr>
          <w:lang w:val="es-ES_tradnl" w:eastAsia="es-ES"/>
        </w:rPr>
        <w:t xml:space="preserve"> a la investigación, deben ser tratadas como </w:t>
      </w:r>
      <w:r w:rsidR="0026057F" w:rsidRPr="00FA704D">
        <w:rPr>
          <w:b/>
          <w:lang w:val="es-ES_tradnl" w:eastAsia="es-ES"/>
        </w:rPr>
        <w:t>notas de campo</w:t>
      </w:r>
      <w:r w:rsidR="0026057F" w:rsidRPr="00250E4A">
        <w:rPr>
          <w:lang w:val="es-ES_tradnl" w:eastAsia="es-ES"/>
        </w:rPr>
        <w:t>, textual</w:t>
      </w:r>
      <w:r w:rsidR="0026057F">
        <w:rPr>
          <w:lang w:val="es-ES_tradnl" w:eastAsia="es-ES"/>
        </w:rPr>
        <w:t xml:space="preserve"> (</w:t>
      </w:r>
      <w:r w:rsidR="0026057F" w:rsidRPr="00F524C0">
        <w:rPr>
          <w:noProof/>
        </w:rPr>
        <w:t>2002</w:t>
      </w:r>
      <w:r w:rsidR="0026057F">
        <w:rPr>
          <w:noProof/>
        </w:rPr>
        <w:t>, 232</w:t>
      </w:r>
      <w:r w:rsidR="0026057F" w:rsidRPr="00F524C0">
        <w:rPr>
          <w:noProof/>
        </w:rPr>
        <w:t>)</w:t>
      </w:r>
      <w:r w:rsidR="0026057F" w:rsidRPr="00250E4A">
        <w:rPr>
          <w:lang w:val="es-ES_tradnl" w:eastAsia="es-ES"/>
        </w:rPr>
        <w:t xml:space="preserve"> </w:t>
      </w:r>
    </w:p>
    <w:p w:rsidR="00784849" w:rsidRPr="0026057F" w:rsidRDefault="00784849">
      <w:pPr>
        <w:rPr>
          <w:lang w:val="es-ES_tradnl"/>
        </w:rPr>
      </w:pPr>
      <w:bookmarkStart w:id="0" w:name="_GoBack"/>
      <w:bookmarkEnd w:id="0"/>
    </w:p>
    <w:sectPr w:rsidR="00784849" w:rsidRPr="002605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7F"/>
    <w:rsid w:val="0026057F"/>
    <w:rsid w:val="003E4A9B"/>
    <w:rsid w:val="00784849"/>
    <w:rsid w:val="009B584F"/>
    <w:rsid w:val="00A17481"/>
    <w:rsid w:val="00CC458A"/>
    <w:rsid w:val="00FA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26057F"/>
    <w:pPr>
      <w:spacing w:after="0" w:line="360" w:lineRule="auto"/>
      <w:ind w:firstLine="680"/>
      <w:jc w:val="both"/>
    </w:pPr>
    <w:rPr>
      <w:rFonts w:ascii="Times New Roman" w:eastAsia="Calibri" w:hAnsi="Times New Roman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26057F"/>
    <w:pPr>
      <w:spacing w:after="0" w:line="360" w:lineRule="auto"/>
      <w:ind w:firstLine="680"/>
      <w:jc w:val="both"/>
    </w:pPr>
    <w:rPr>
      <w:rFonts w:ascii="Times New Roman" w:eastAsia="Calibri" w:hAnsi="Times New Roman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3</cp:revision>
  <dcterms:created xsi:type="dcterms:W3CDTF">2020-09-20T12:29:00Z</dcterms:created>
  <dcterms:modified xsi:type="dcterms:W3CDTF">2020-09-20T12:35:00Z</dcterms:modified>
</cp:coreProperties>
</file>