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53"/>
        <w:gridCol w:w="2836"/>
        <w:gridCol w:w="3309"/>
        <w:gridCol w:w="2993"/>
        <w:gridCol w:w="3625"/>
      </w:tblGrid>
      <w:tr w:rsidR="00313D1F" w:rsidTr="001C2E98">
        <w:tc>
          <w:tcPr>
            <w:tcW w:w="5000" w:type="pct"/>
            <w:gridSpan w:val="5"/>
          </w:tcPr>
          <w:p w:rsidR="00313D1F" w:rsidRDefault="00313D1F" w:rsidP="00313D1F">
            <w:pPr>
              <w:jc w:val="center"/>
            </w:pPr>
            <w:r w:rsidRPr="00313D1F">
              <w:rPr>
                <w:rFonts w:ascii="MetaPro-Medium" w:hAnsi="MetaPro-Medium" w:cs="MetaPro-Medium"/>
                <w:sz w:val="20"/>
                <w:szCs w:val="20"/>
              </w:rPr>
              <w:t>Tabla 2. Estándares de la RSE y otros documentos (tipología, descripción, dimensiones y relaciones con otras normas)</w:t>
            </w:r>
          </w:p>
        </w:tc>
      </w:tr>
      <w:tr w:rsidR="00313D1F" w:rsidTr="001C2E98">
        <w:tc>
          <w:tcPr>
            <w:tcW w:w="634" w:type="pct"/>
          </w:tcPr>
          <w:p w:rsidR="00313D1F" w:rsidRDefault="00313D1F" w:rsidP="00313D1F">
            <w:r>
              <w:rPr>
                <w:rFonts w:ascii="MetaPro-Bold" w:hAnsi="MetaPro-Bold" w:cs="MetaPro-Bold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970" w:type="pct"/>
          </w:tcPr>
          <w:p w:rsidR="00313D1F" w:rsidRDefault="00313D1F">
            <w:r>
              <w:rPr>
                <w:rFonts w:ascii="MetaPro-Bold" w:hAnsi="MetaPro-Bold" w:cs="MetaPro-Bold"/>
                <w:b/>
                <w:bCs/>
                <w:sz w:val="18"/>
                <w:szCs w:val="18"/>
              </w:rPr>
              <w:t>Tipología</w:t>
            </w:r>
          </w:p>
        </w:tc>
        <w:tc>
          <w:tcPr>
            <w:tcW w:w="1132" w:type="pct"/>
          </w:tcPr>
          <w:p w:rsidR="00313D1F" w:rsidRDefault="00313D1F">
            <w:r>
              <w:rPr>
                <w:rFonts w:ascii="MetaPro-Bold" w:hAnsi="MetaPro-Bold" w:cs="MetaPro-Bold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024" w:type="pct"/>
          </w:tcPr>
          <w:p w:rsidR="00313D1F" w:rsidRDefault="00313D1F">
            <w:r>
              <w:rPr>
                <w:rFonts w:ascii="MetaPro-Bold" w:hAnsi="MetaPro-Bold" w:cs="MetaPro-Bold"/>
                <w:b/>
                <w:bCs/>
                <w:sz w:val="18"/>
                <w:szCs w:val="18"/>
              </w:rPr>
              <w:t>Dimensión</w:t>
            </w:r>
          </w:p>
        </w:tc>
        <w:tc>
          <w:tcPr>
            <w:tcW w:w="1240" w:type="pct"/>
          </w:tcPr>
          <w:p w:rsidR="00313D1F" w:rsidRDefault="00313D1F" w:rsidP="00313D1F">
            <w:pPr>
              <w:spacing w:line="240" w:lineRule="auto"/>
            </w:pPr>
            <w:r>
              <w:rPr>
                <w:rFonts w:ascii="MetaPro-Bold" w:hAnsi="MetaPro-Bold" w:cs="MetaPro-Bold"/>
                <w:b/>
                <w:bCs/>
                <w:sz w:val="18"/>
                <w:szCs w:val="18"/>
              </w:rPr>
              <w:t>Relaciones con otras normas</w:t>
            </w:r>
          </w:p>
        </w:tc>
      </w:tr>
      <w:tr w:rsidR="00313D1F" w:rsidTr="00A50970">
        <w:tc>
          <w:tcPr>
            <w:tcW w:w="634" w:type="pct"/>
            <w:shd w:val="clear" w:color="auto" w:fill="D6E3BC" w:themeFill="accent3" w:themeFillTint="66"/>
          </w:tcPr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ISO 26000</w:t>
            </w:r>
          </w:p>
          <w:p w:rsidR="00313D1F" w:rsidRP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  <w:lang w:val="en-US"/>
              </w:rPr>
            </w:pPr>
          </w:p>
          <w:p w:rsidR="00313D1F" w:rsidRDefault="00313D1F" w:rsidP="00313D1F"/>
        </w:tc>
        <w:tc>
          <w:tcPr>
            <w:tcW w:w="970" w:type="pct"/>
          </w:tcPr>
          <w:p w:rsidR="00313D1F" w:rsidRPr="00313D1F" w:rsidRDefault="00F13A1C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Es una guía. No es </w:t>
            </w:r>
            <w:r w:rsidR="00313D1F">
              <w:rPr>
                <w:rFonts w:ascii="MetaPro-Book" w:hAnsi="MetaPro-Book" w:cs="MetaPro-Book"/>
                <w:sz w:val="18"/>
                <w:szCs w:val="18"/>
              </w:rPr>
              <w:t>certificatoria ni regulatoria.</w:t>
            </w:r>
          </w:p>
        </w:tc>
        <w:tc>
          <w:tcPr>
            <w:tcW w:w="1132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“Proporciona una guía a las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organizaciones sobre los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principios, temas centrales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relacionados con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responsabilidad social, y los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métodos para implementar los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principios de responsabilidad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social en las actividades diarias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en una organización, incluyendo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aquellas actividades de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involucramiento de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stakeholders</w:t>
            </w:r>
            <w:proofErr w:type="spellEnd"/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>”. (ISO/WD 26000,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2006 P.8)</w:t>
            </w:r>
          </w:p>
        </w:tc>
        <w:tc>
          <w:tcPr>
            <w:tcW w:w="1024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“1. Medio ambiente2. Derechos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humanos3. Prácticas laborales4.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Gobierno organizacional5.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Prácticas de negocio justo /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reglas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de mercado6.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Participación de la comunidad7.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Consumidores / responsabilidad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del producto”</w:t>
            </w:r>
          </w:p>
        </w:tc>
        <w:tc>
          <w:tcPr>
            <w:tcW w:w="1240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“La ISO 26000 es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culminación del proceso para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el desarrollo de la primera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guía consensuada sobre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Responsabilidad Social,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establecida por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Organización Internacional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para la Estandarización (ISO)”</w:t>
            </w:r>
          </w:p>
        </w:tc>
      </w:tr>
      <w:tr w:rsidR="00313D1F" w:rsidTr="001C2E98">
        <w:tc>
          <w:tcPr>
            <w:tcW w:w="634" w:type="pct"/>
          </w:tcPr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Norma de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aseguramiento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AA1000</w:t>
            </w:r>
          </w:p>
          <w:p w:rsidR="00313D1F" w:rsidRDefault="00313D1F"/>
        </w:tc>
        <w:tc>
          <w:tcPr>
            <w:tcW w:w="970" w:type="pct"/>
          </w:tcPr>
          <w:p w:rsidR="00313D1F" w:rsidRDefault="00F13A1C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Es una norma no </w:t>
            </w:r>
            <w:r w:rsidR="00313D1F">
              <w:rPr>
                <w:rFonts w:ascii="MetaPro-Book" w:hAnsi="MetaPro-Book" w:cs="MetaPro-Book"/>
                <w:sz w:val="18"/>
                <w:szCs w:val="18"/>
              </w:rPr>
              <w:t>certificable.</w:t>
            </w:r>
          </w:p>
          <w:p w:rsidR="00313D1F" w:rsidRDefault="00313D1F" w:rsidP="00313D1F">
            <w:r>
              <w:rPr>
                <w:rFonts w:ascii="MetaPro-Book" w:hAnsi="MetaPro-Book" w:cs="MetaPro-Book"/>
                <w:sz w:val="18"/>
                <w:szCs w:val="18"/>
              </w:rPr>
              <w:t>Auditable</w:t>
            </w:r>
          </w:p>
        </w:tc>
        <w:tc>
          <w:tcPr>
            <w:tcW w:w="1132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“Es un estándar de aplicación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general para evaluar atestiguar y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fortalecer la credibilidad y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calidad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del informe de</w:t>
            </w:r>
            <w:r w:rsidR="00D17CD8"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sostenibilidad de una </w:t>
            </w:r>
            <w:r>
              <w:rPr>
                <w:rFonts w:ascii="MetaPro-Book" w:hAnsi="MetaPro-Book" w:cs="MetaPro-Book"/>
                <w:sz w:val="18"/>
                <w:szCs w:val="18"/>
              </w:rPr>
              <w:t>o</w:t>
            </w:r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rganización y </w:t>
            </w:r>
            <w:proofErr w:type="spellStart"/>
            <w:r w:rsidR="00CE53E5">
              <w:rPr>
                <w:rFonts w:ascii="MetaPro-Book" w:hAnsi="MetaPro-Book" w:cs="MetaPro-Book"/>
                <w:sz w:val="18"/>
                <w:szCs w:val="18"/>
              </w:rPr>
              <w:t>e</w:t>
            </w:r>
            <w:proofErr w:type="spellEnd"/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 sus principales procesos, sistemas y </w:t>
            </w:r>
            <w:r>
              <w:rPr>
                <w:rFonts w:ascii="MetaPro-Book" w:hAnsi="MetaPro-Book" w:cs="MetaPro-Book"/>
                <w:sz w:val="18"/>
                <w:szCs w:val="18"/>
              </w:rPr>
              <w:t>competencias. Asimismo,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provee de orientación sobre los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elementos clave del proceso de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aseguramiento” (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Accountability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: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2003, p. 4)</w:t>
            </w:r>
          </w:p>
        </w:tc>
        <w:tc>
          <w:tcPr>
            <w:tcW w:w="1024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“1. Resultado organizacional2.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Partes interesadas3. Políticas y metas establecidas4.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Aseguramiento público”</w:t>
            </w:r>
          </w:p>
        </w:tc>
        <w:tc>
          <w:tcPr>
            <w:tcW w:w="1239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“Compatible con las demás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normas, especialmente con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ISAE 3000 -más centrada en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los requisitos y los contenidos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o campos a los que debe darse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respuesta-, ya que la AA 1000,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po</w:t>
            </w:r>
            <w:r w:rsidR="00CE53E5">
              <w:rPr>
                <w:rFonts w:ascii="MetaPro-Book" w:hAnsi="MetaPro-Book" w:cs="MetaPro-Book"/>
                <w:sz w:val="18"/>
                <w:szCs w:val="18"/>
              </w:rPr>
              <w:t>r</w:t>
            </w:r>
            <w:proofErr w:type="gramEnd"/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 el contrario, se centra en el cómo, en el proceso de elaboración y desarrollo de informes de RS. Estas dos normas no son </w:t>
            </w:r>
            <w:r>
              <w:rPr>
                <w:rFonts w:ascii="MetaPro-Book" w:hAnsi="MetaPro-Book" w:cs="MetaPro-Book"/>
                <w:sz w:val="18"/>
                <w:szCs w:val="18"/>
              </w:rPr>
              <w:t>contradictorias, sino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complementarias”</w:t>
            </w:r>
          </w:p>
        </w:tc>
      </w:tr>
      <w:tr w:rsidR="00313D1F" w:rsidTr="001C2E98">
        <w:tc>
          <w:tcPr>
            <w:tcW w:w="634" w:type="pct"/>
          </w:tcPr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Cuadro central,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indicadores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sociales AECA (la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Asociación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Española de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Contabilidad y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Administración de</w:t>
            </w:r>
          </w:p>
          <w:p w:rsidR="00313D1F" w:rsidRPr="001C2E98" w:rsidRDefault="001C2E98" w:rsidP="001C2E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Empresas)</w:t>
            </w:r>
          </w:p>
        </w:tc>
        <w:tc>
          <w:tcPr>
            <w:tcW w:w="970" w:type="pct"/>
          </w:tcPr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Es un Marco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Conceptual que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ayuda a entender la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Responsabilidad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Social Empresarial</w:t>
            </w:r>
          </w:p>
          <w:p w:rsidR="00313D1F" w:rsidRDefault="00F13A1C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Fundamentalmente </w:t>
            </w:r>
            <w:r w:rsidR="00313D1F">
              <w:rPr>
                <w:rFonts w:ascii="MetaPro-Book" w:hAnsi="MetaPro-Book" w:cs="MetaPro-Book"/>
                <w:sz w:val="18"/>
                <w:szCs w:val="18"/>
              </w:rPr>
              <w:t>para PYMES. No</w:t>
            </w:r>
          </w:p>
          <w:p w:rsidR="00313D1F" w:rsidRDefault="00313D1F" w:rsidP="00313D1F">
            <w:r>
              <w:rPr>
                <w:rFonts w:ascii="MetaPro-Book" w:hAnsi="MetaPro-Book" w:cs="MetaPro-Book"/>
                <w:sz w:val="18"/>
                <w:szCs w:val="18"/>
              </w:rPr>
              <w:t>certificable</w:t>
            </w:r>
          </w:p>
        </w:tc>
        <w:tc>
          <w:tcPr>
            <w:tcW w:w="1132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Funciona para la creación de los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informes sobre RSC de las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MyPimes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 xml:space="preserve"> y preparación de los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indicadores detallados (AECA,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2003)</w:t>
            </w:r>
          </w:p>
        </w:tc>
        <w:tc>
          <w:tcPr>
            <w:tcW w:w="1024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Indicadores empleados, clientes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y accionistas</w:t>
            </w:r>
          </w:p>
        </w:tc>
        <w:tc>
          <w:tcPr>
            <w:tcW w:w="1239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Se relaciona desde las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dimensiones de los agentes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partícipes con las distintas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normas analizadas,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pensándolas desde las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particularidades de la Pymes</w:t>
            </w:r>
          </w:p>
        </w:tc>
      </w:tr>
      <w:tr w:rsidR="00313D1F" w:rsidTr="00A50970">
        <w:tc>
          <w:tcPr>
            <w:tcW w:w="634" w:type="pct"/>
            <w:shd w:val="clear" w:color="auto" w:fill="D6E3BC" w:themeFill="accent3" w:themeFillTint="66"/>
          </w:tcPr>
          <w:p w:rsidR="00313D1F" w:rsidRP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  <w:lang w:val="en-US"/>
              </w:rPr>
            </w:pPr>
            <w:r w:rsidRPr="00313D1F">
              <w:rPr>
                <w:rFonts w:ascii="MetaPro-Book" w:hAnsi="MetaPro-Book" w:cs="MetaPro-Book"/>
                <w:sz w:val="18"/>
                <w:szCs w:val="18"/>
                <w:lang w:val="en-US"/>
              </w:rPr>
              <w:t>Global Reporting</w:t>
            </w:r>
          </w:p>
          <w:p w:rsidR="00313D1F" w:rsidRDefault="00313D1F" w:rsidP="00313D1F">
            <w:r w:rsidRPr="00313D1F">
              <w:rPr>
                <w:rFonts w:ascii="MetaPro-Book" w:hAnsi="MetaPro-Book" w:cs="MetaPro-Book"/>
                <w:sz w:val="18"/>
                <w:szCs w:val="18"/>
                <w:lang w:val="en-US"/>
              </w:rPr>
              <w:t>Initiative - GRI</w:t>
            </w:r>
          </w:p>
        </w:tc>
        <w:tc>
          <w:tcPr>
            <w:tcW w:w="970" w:type="pct"/>
          </w:tcPr>
          <w:p w:rsidR="00313D1F" w:rsidRDefault="00F13A1C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Guía. No auditable </w:t>
            </w:r>
            <w:r w:rsidR="00313D1F">
              <w:rPr>
                <w:rFonts w:ascii="MetaPro-Book" w:hAnsi="MetaPro-Book" w:cs="MetaPro-Book"/>
                <w:sz w:val="18"/>
                <w:szCs w:val="18"/>
              </w:rPr>
              <w:t>ni certificable.</w:t>
            </w:r>
          </w:p>
          <w:p w:rsidR="00313D1F" w:rsidRDefault="00313D1F"/>
        </w:tc>
        <w:tc>
          <w:tcPr>
            <w:tcW w:w="1132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La GRI ha elaborado un marco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que aporta directrices sobre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elaboración de memorias de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RSE, incluyendo los impactos económicos, sociales y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ambientales de una empresa.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(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SDStrandberg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, 2010: 15)</w:t>
            </w:r>
          </w:p>
        </w:tc>
        <w:tc>
          <w:tcPr>
            <w:tcW w:w="1024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Las directrices de la GRI se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refieren a cuatro principios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respecto al contenido de las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memorias: Materialidad,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Participación de los Grupos de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Interés, Contexto de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Sostenibilidad y Exhaustividad.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También establecen indicadores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específicos categorizados en</w:t>
            </w:r>
          </w:p>
          <w:p w:rsidR="00313D1F" w:rsidRPr="00D17CD8" w:rsidRDefault="00D17CD8" w:rsidP="00D17CD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económicos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, ambientales y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sociales.</w:t>
            </w:r>
          </w:p>
        </w:tc>
        <w:tc>
          <w:tcPr>
            <w:tcW w:w="1239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La GRI puede combinarse con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otras normas y matrices, tales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como el Pacto MUNDIAL y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AA1000. La GRI se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corresponde con los principios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del Pacto Mundial para la</w:t>
            </w:r>
          </w:p>
          <w:p w:rsidR="00313D1F" w:rsidRPr="00CE53E5" w:rsidRDefault="00CE53E5" w:rsidP="00CE53E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elaboración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de la memoria, y serán aún más compatibles debido a un nuevo proyecto entre las dos entidades creadores. La serie AA1000 es útil para el monitoreo y la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evaluación de la GRI.</w:t>
            </w:r>
          </w:p>
        </w:tc>
      </w:tr>
      <w:tr w:rsidR="00313D1F" w:rsidTr="001C2E98">
        <w:tc>
          <w:tcPr>
            <w:tcW w:w="634" w:type="pct"/>
          </w:tcPr>
          <w:p w:rsidR="00313D1F" w:rsidRPr="00A50970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 w:rsidRPr="00A50970">
              <w:rPr>
                <w:rFonts w:ascii="MetaPro-Book" w:hAnsi="MetaPro-Book" w:cs="MetaPro-Book"/>
                <w:sz w:val="18"/>
                <w:szCs w:val="18"/>
              </w:rPr>
              <w:t>SGE 21: 2008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Sistema de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Gestión Ética y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Socialmente</w:t>
            </w:r>
          </w:p>
          <w:p w:rsidR="00313D1F" w:rsidRDefault="00313D1F" w:rsidP="00313D1F">
            <w:r>
              <w:rPr>
                <w:rFonts w:ascii="MetaPro-Book" w:hAnsi="MetaPro-Book" w:cs="MetaPro-Book"/>
                <w:sz w:val="18"/>
                <w:szCs w:val="18"/>
              </w:rPr>
              <w:lastRenderedPageBreak/>
              <w:t>Responsable</w:t>
            </w:r>
          </w:p>
        </w:tc>
        <w:tc>
          <w:tcPr>
            <w:tcW w:w="970" w:type="pct"/>
          </w:tcPr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lastRenderedPageBreak/>
              <w:t>Norma auditable y</w:t>
            </w:r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certificable por</w:t>
            </w:r>
          </w:p>
          <w:p w:rsidR="00313D1F" w:rsidRDefault="00313D1F" w:rsidP="00313D1F">
            <w:r>
              <w:rPr>
                <w:rFonts w:ascii="MetaPro-Book" w:hAnsi="MetaPro-Book" w:cs="MetaPro-Book"/>
                <w:sz w:val="18"/>
                <w:szCs w:val="18"/>
              </w:rPr>
              <w:t>FORÉTICA*</w:t>
            </w:r>
          </w:p>
        </w:tc>
        <w:tc>
          <w:tcPr>
            <w:tcW w:w="1132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“Permite establecer un Sistema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de Gestión Ética y Socialmente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Responsable en las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organizaciones. Debe ser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lastRenderedPageBreak/>
              <w:t>contemplado como una parte del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sistema de gestión de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organización y por tanto,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compatible e integrable con los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sistemas de gestión de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de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 xml:space="preserve"> la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calidad, medio ambiente,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prevención de riesgos laborales,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o innovación, entre otros”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(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Forética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: 2008, p. 5)</w:t>
            </w:r>
          </w:p>
        </w:tc>
        <w:tc>
          <w:tcPr>
            <w:tcW w:w="1024" w:type="pct"/>
          </w:tcPr>
          <w:p w:rsidR="00313D1F" w:rsidRPr="00CE53E5" w:rsidRDefault="00F13A1C" w:rsidP="00CE53E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lastRenderedPageBreak/>
              <w:t>Alta dirección</w:t>
            </w:r>
            <w:r w:rsidR="00D17CD8">
              <w:rPr>
                <w:rFonts w:ascii="MetaPro-Book" w:hAnsi="MetaPro-Book" w:cs="MetaPro-Book"/>
                <w:sz w:val="18"/>
                <w:szCs w:val="18"/>
              </w:rPr>
              <w:t xml:space="preserve">, clientes, proveedores, entorno social, </w:t>
            </w:r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entorno ambiental, inversores, </w:t>
            </w:r>
            <w:r>
              <w:rPr>
                <w:rFonts w:ascii="MetaPro-Book" w:hAnsi="MetaPro-Book" w:cs="MetaPro-Book"/>
                <w:sz w:val="18"/>
                <w:szCs w:val="18"/>
              </w:rPr>
              <w:t>competencia.</w:t>
            </w:r>
          </w:p>
        </w:tc>
        <w:tc>
          <w:tcPr>
            <w:tcW w:w="1239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Global Compact (Pacto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Mundial). Responsabilidad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Social Europea (CSR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Europe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). Comunicación de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lastRenderedPageBreak/>
              <w:t>la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Comisión Europea.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Declaración tripartita de la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OIT sobre multinacionales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y p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olítica social.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Directrices de la OCDE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PARA MULTINACIONALES.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ISO 9001: 2000 (Gestión de Alta Calidad). ISO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14001: 2004 (Medio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Ambiente). ISO 19011: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2002 (Auditoría de</w:t>
            </w:r>
          </w:p>
          <w:p w:rsidR="00313D1F" w:rsidRPr="00CE53E5" w:rsidRDefault="00CE53E5" w:rsidP="00CE53E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Calidad). Libro Verde de la Comisión Europea (2001). QHSAS 18001:1999. Social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Accountability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 xml:space="preserve"> 8000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Standard.</w:t>
            </w:r>
          </w:p>
        </w:tc>
      </w:tr>
      <w:tr w:rsidR="00313D1F" w:rsidTr="00A50970">
        <w:tc>
          <w:tcPr>
            <w:tcW w:w="634" w:type="pct"/>
            <w:shd w:val="clear" w:color="auto" w:fill="D6E3BC" w:themeFill="accent3" w:themeFillTint="66"/>
          </w:tcPr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lastRenderedPageBreak/>
              <w:t xml:space="preserve">Indicadores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Ethos</w:t>
            </w:r>
            <w:proofErr w:type="spellEnd"/>
          </w:p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De Responsabilidad</w:t>
            </w:r>
          </w:p>
          <w:p w:rsidR="00313D1F" w:rsidRP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Social Empresarial</w:t>
            </w:r>
          </w:p>
        </w:tc>
        <w:tc>
          <w:tcPr>
            <w:tcW w:w="970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Indicadores. No auditable.</w:t>
            </w:r>
          </w:p>
          <w:p w:rsidR="00313D1F" w:rsidRDefault="00313D1F" w:rsidP="00F13A1C"/>
        </w:tc>
        <w:tc>
          <w:tcPr>
            <w:tcW w:w="1132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“Estos indicadores buscan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plantear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cómo puede la empresa mejorar su desempeño en los temas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correspondientes desde distintas perspectivas”</w:t>
            </w:r>
            <w:r w:rsidR="00D17CD8">
              <w:rPr>
                <w:rFonts w:ascii="MetaPro-Book" w:hAnsi="MetaPro-Book" w:cs="MetaPro-Book"/>
                <w:sz w:val="18"/>
                <w:szCs w:val="18"/>
              </w:rPr>
              <w:t xml:space="preserve">. (Instituto </w:t>
            </w:r>
            <w:proofErr w:type="spellStart"/>
            <w:r w:rsidR="00D17CD8">
              <w:rPr>
                <w:rFonts w:ascii="MetaPro-Book" w:hAnsi="MetaPro-Book" w:cs="MetaPro-Book"/>
                <w:sz w:val="18"/>
                <w:szCs w:val="18"/>
              </w:rPr>
              <w:t>Ethos</w:t>
            </w:r>
            <w:proofErr w:type="spellEnd"/>
            <w:r w:rsidR="00D17CD8">
              <w:rPr>
                <w:rFonts w:ascii="MetaPro-Book" w:hAnsi="MetaPro-Book" w:cs="MetaPro-Book"/>
                <w:sz w:val="18"/>
                <w:szCs w:val="18"/>
              </w:rPr>
              <w:t xml:space="preserve"> de Empresas y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Responsabilidad Social: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2006 p. 6)</w:t>
            </w:r>
          </w:p>
        </w:tc>
        <w:tc>
          <w:tcPr>
            <w:tcW w:w="1024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“1.Valores, Transparencia y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Gobernanza 2.Público Interno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3.Medio Ambiente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4.Proveedores 5.Consumidores y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Clientes 6.Comunidad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7.Gobierno y Sociedad"</w:t>
            </w:r>
          </w:p>
        </w:tc>
        <w:tc>
          <w:tcPr>
            <w:tcW w:w="1239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“Pacto Global GRISA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8000AA1000”</w:t>
            </w:r>
          </w:p>
        </w:tc>
      </w:tr>
      <w:tr w:rsidR="00313D1F" w:rsidTr="001C2E98">
        <w:tc>
          <w:tcPr>
            <w:tcW w:w="634" w:type="pct"/>
          </w:tcPr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Norma SA 8000</w:t>
            </w:r>
          </w:p>
          <w:p w:rsidR="00313D1F" w:rsidRDefault="00313D1F"/>
        </w:tc>
        <w:tc>
          <w:tcPr>
            <w:tcW w:w="970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Es una norma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auditable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certificable por SAI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(Social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Accountability</w:t>
            </w:r>
            <w:proofErr w:type="spellEnd"/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International)</w:t>
            </w:r>
          </w:p>
          <w:p w:rsidR="00313D1F" w:rsidRDefault="00313D1F" w:rsidP="00F13A1C"/>
        </w:tc>
        <w:tc>
          <w:tcPr>
            <w:tcW w:w="1132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</w:t>
            </w:r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Esta norma específica los requisitos de responsabilidad social que permiten a una compañía: a) Desarrollar, </w:t>
            </w:r>
            <w:r>
              <w:rPr>
                <w:rFonts w:ascii="MetaPro-Book" w:hAnsi="MetaPro-Book" w:cs="MetaPro-Book"/>
                <w:sz w:val="18"/>
                <w:szCs w:val="18"/>
              </w:rPr>
              <w:t>ma</w:t>
            </w:r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ntener y aplicar sus principios y sus procedimientos con el objeto de manejar aquellos asuntos que están bajo su control o influencia. b) </w:t>
            </w:r>
            <w:r>
              <w:rPr>
                <w:rFonts w:ascii="MetaPro-Book" w:hAnsi="MetaPro-Book" w:cs="MetaPro-Book"/>
                <w:sz w:val="18"/>
                <w:szCs w:val="18"/>
              </w:rPr>
              <w:t>Demostrar a las partes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interesadas que sus principios,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procedimientos y prácticas están</w:t>
            </w:r>
          </w:p>
          <w:p w:rsidR="00313D1F" w:rsidRPr="00D17CD8" w:rsidRDefault="00D17CD8" w:rsidP="00D17CD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en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conformidad con los </w:t>
            </w:r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requerimientos impuestos por esta norma. (Social </w:t>
            </w:r>
            <w:proofErr w:type="spellStart"/>
            <w:r w:rsidR="00F13A1C">
              <w:rPr>
                <w:rFonts w:ascii="MetaPro-Book" w:hAnsi="MetaPro-Book" w:cs="MetaPro-Book"/>
                <w:sz w:val="18"/>
                <w:szCs w:val="18"/>
              </w:rPr>
              <w:t>Accountability</w:t>
            </w:r>
            <w:proofErr w:type="spellEnd"/>
            <w:r w:rsidR="00F13A1C">
              <w:rPr>
                <w:rFonts w:ascii="MetaPro-Book" w:hAnsi="MetaPro-Book" w:cs="MetaPro-Book"/>
                <w:sz w:val="18"/>
                <w:szCs w:val="18"/>
              </w:rPr>
              <w:t xml:space="preserve"> Int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ernational: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2001, p. 3)</w:t>
            </w:r>
          </w:p>
        </w:tc>
        <w:tc>
          <w:tcPr>
            <w:tcW w:w="1024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Trabajo infantil, trabajos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forzados, salud y seguridad en el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trabajo, libertad de asociación y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derecho de negociación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colectiva, discriminación,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medidas disciplinarias, horario</w:t>
            </w:r>
          </w:p>
          <w:p w:rsidR="00313D1F" w:rsidRPr="00CE53E5" w:rsidRDefault="00CE53E5" w:rsidP="00CE53E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de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trabajo, remuneración,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sistemas de gestión.</w:t>
            </w:r>
          </w:p>
        </w:tc>
        <w:tc>
          <w:tcPr>
            <w:tcW w:w="1239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Declaración Universal de los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Derechos Humanos.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Convención de las Naciones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Unidas sobre los derechos del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niños. Convención de las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Naciones Unidas sobre la eliminación de toda forma de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discriminación de la mujer.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Convenciones y recomendaciones de la OIT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sobre las relaciones laborales</w:t>
            </w:r>
          </w:p>
          <w:p w:rsidR="00313D1F" w:rsidRDefault="00F13A1C" w:rsidP="00F13A1C"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y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la seguridad en el trabajo.</w:t>
            </w:r>
          </w:p>
        </w:tc>
        <w:bookmarkStart w:id="0" w:name="_GoBack"/>
        <w:bookmarkEnd w:id="0"/>
      </w:tr>
      <w:tr w:rsidR="00313D1F" w:rsidTr="001C2E98">
        <w:tc>
          <w:tcPr>
            <w:tcW w:w="634" w:type="pct"/>
          </w:tcPr>
          <w:p w:rsidR="00313D1F" w:rsidRDefault="00313D1F" w:rsidP="00313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Guía del Pacto</w:t>
            </w:r>
          </w:p>
          <w:p w:rsidR="00313D1F" w:rsidRDefault="00313D1F" w:rsidP="00313D1F">
            <w:r>
              <w:rPr>
                <w:rFonts w:ascii="MetaPro-Book" w:hAnsi="MetaPro-Book" w:cs="MetaPro-Book"/>
                <w:sz w:val="18"/>
                <w:szCs w:val="18"/>
              </w:rPr>
              <w:t>Mundial</w:t>
            </w:r>
          </w:p>
        </w:tc>
        <w:tc>
          <w:tcPr>
            <w:tcW w:w="970" w:type="pct"/>
          </w:tcPr>
          <w:p w:rsidR="00313D1F" w:rsidRP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Es una guía no certificable.</w:t>
            </w:r>
          </w:p>
        </w:tc>
        <w:tc>
          <w:tcPr>
            <w:tcW w:w="1132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“El Pacto Mundial busca facilitar</w:t>
            </w:r>
          </w:p>
          <w:p w:rsidR="00F13A1C" w:rsidRDefault="00CE53E5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proofErr w:type="gramStart"/>
            <w:r>
              <w:rPr>
                <w:rFonts w:ascii="MetaPro-Book" w:hAnsi="MetaPro-Book" w:cs="MetaPro-Book"/>
                <w:sz w:val="18"/>
                <w:szCs w:val="18"/>
              </w:rPr>
              <w:t>un</w:t>
            </w:r>
            <w:proofErr w:type="gramEnd"/>
            <w:r>
              <w:rPr>
                <w:rFonts w:ascii="MetaPro-Book" w:hAnsi="MetaPro-Book" w:cs="MetaPro-Book"/>
                <w:sz w:val="18"/>
                <w:szCs w:val="18"/>
              </w:rPr>
              <w:t xml:space="preserve"> marco de trabajo contextual para fomentar y difundir la innovación, las soluciones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creativas  las mejores prácticas entre los parti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cipantes. No sustituye a organismos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r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egulatorios ni de otro tipo. De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h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echo, el Pacto Mundial cree que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la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s iniciativas voluntarias y los sistemas regulatorios se </w:t>
            </w:r>
            <w:r w:rsidR="00F13A1C">
              <w:rPr>
                <w:rFonts w:ascii="MetaPro-Book" w:hAnsi="MetaPro-Book" w:cs="MetaPro-Book"/>
                <w:sz w:val="18"/>
                <w:szCs w:val="18"/>
              </w:rPr>
              <w:t>complementan mutuamente y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que, cuando se combinan, se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genera un poderoso impulso que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favorece el sentido de</w:t>
            </w:r>
            <w:r w:rsidR="00CE53E5"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r>
              <w:rPr>
                <w:rFonts w:ascii="MetaPro-Book" w:hAnsi="MetaPro-Book" w:cs="MetaPro-Book"/>
                <w:sz w:val="18"/>
                <w:szCs w:val="18"/>
              </w:rPr>
              <w:t>responsabilidad cívica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corporativa (Pacto Global: 2004,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P. 5-6)</w:t>
            </w:r>
          </w:p>
        </w:tc>
        <w:tc>
          <w:tcPr>
            <w:tcW w:w="1024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"1.Derechos humanos 2.Ámbito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laboral 3.Medio ambiente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4.Anticorrupción"</w:t>
            </w:r>
          </w:p>
        </w:tc>
        <w:tc>
          <w:tcPr>
            <w:tcW w:w="1239" w:type="pct"/>
          </w:tcPr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Puede relacionarse con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cualquier otra norma, al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identificarse en aspectos</w:t>
            </w:r>
          </w:p>
          <w:p w:rsidR="00F13A1C" w:rsidRDefault="00F13A1C" w:rsidP="00F13A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esenciales las dimensiones</w:t>
            </w:r>
          </w:p>
          <w:p w:rsidR="00313D1F" w:rsidRDefault="00F13A1C" w:rsidP="00F13A1C">
            <w:r>
              <w:rPr>
                <w:rFonts w:ascii="MetaPro-Book" w:hAnsi="MetaPro-Book" w:cs="MetaPro-Book"/>
                <w:sz w:val="18"/>
                <w:szCs w:val="18"/>
              </w:rPr>
              <w:t>propias de su alcance</w:t>
            </w:r>
          </w:p>
        </w:tc>
      </w:tr>
      <w:tr w:rsidR="001C2E98" w:rsidTr="00D12839">
        <w:tc>
          <w:tcPr>
            <w:tcW w:w="1" w:type="pct"/>
            <w:gridSpan w:val="5"/>
          </w:tcPr>
          <w:p w:rsidR="001C2E98" w:rsidRDefault="001C2E98" w:rsidP="001C2E98">
            <w:pPr>
              <w:jc w:val="center"/>
            </w:pPr>
            <w:r w:rsidRPr="001C2E98">
              <w:rPr>
                <w:rFonts w:ascii="MetaPro-Medium" w:hAnsi="MetaPro-Medium" w:cs="MetaPro-Medium"/>
                <w:sz w:val="18"/>
                <w:szCs w:val="18"/>
              </w:rPr>
              <w:t>Fuente: Cardona Acevedo, Duque Orozco, y Rendón Acevedo (2013) y documentos enunciados.</w:t>
            </w:r>
          </w:p>
        </w:tc>
      </w:tr>
    </w:tbl>
    <w:p w:rsidR="00784849" w:rsidRDefault="00784849"/>
    <w:sectPr w:rsidR="00784849" w:rsidSect="00313D1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ro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1F"/>
    <w:rsid w:val="001C2E98"/>
    <w:rsid w:val="00313D1F"/>
    <w:rsid w:val="003E4A9B"/>
    <w:rsid w:val="00784849"/>
    <w:rsid w:val="009B584F"/>
    <w:rsid w:val="00A17481"/>
    <w:rsid w:val="00A50970"/>
    <w:rsid w:val="00CE53E5"/>
    <w:rsid w:val="00D17CD8"/>
    <w:rsid w:val="00F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3</cp:revision>
  <dcterms:created xsi:type="dcterms:W3CDTF">2018-04-23T15:27:00Z</dcterms:created>
  <dcterms:modified xsi:type="dcterms:W3CDTF">2020-10-06T12:51:00Z</dcterms:modified>
</cp:coreProperties>
</file>