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F0" w:rsidRDefault="00A569F0" w:rsidP="00BF4EA0">
      <w:pPr>
        <w:spacing w:after="0" w:line="240" w:lineRule="auto"/>
        <w:jc w:val="both"/>
        <w:rPr>
          <w:rFonts w:ascii="Franklin Gothic Medium" w:hAnsi="Franklin Gothic Medium" w:cs="Franklin Gothic Medium"/>
          <w:color w:val="7030A0"/>
          <w:sz w:val="28"/>
          <w:szCs w:val="28"/>
        </w:rPr>
      </w:pPr>
    </w:p>
    <w:p w:rsidR="00A569F0" w:rsidRDefault="00A569F0" w:rsidP="00BF4EA0">
      <w:pPr>
        <w:spacing w:after="0" w:line="240" w:lineRule="auto"/>
        <w:jc w:val="both"/>
        <w:rPr>
          <w:rFonts w:ascii="Franklin Gothic Medium" w:hAnsi="Franklin Gothic Medium" w:cs="Franklin Gothic Medium"/>
          <w:color w:val="7030A0"/>
          <w:sz w:val="28"/>
          <w:szCs w:val="28"/>
        </w:rPr>
      </w:pPr>
    </w:p>
    <w:p w:rsidR="000058A5" w:rsidRPr="00BF4EA0" w:rsidRDefault="00BF4EA0" w:rsidP="00BF4EA0">
      <w:pPr>
        <w:spacing w:after="0" w:line="240" w:lineRule="auto"/>
        <w:jc w:val="both"/>
        <w:rPr>
          <w:rFonts w:ascii="Franklin Gothic Medium" w:hAnsi="Franklin Gothic Medium" w:cs="Franklin Gothic Medium"/>
          <w:color w:val="7030A0"/>
          <w:sz w:val="40"/>
          <w:szCs w:val="40"/>
        </w:rPr>
      </w:pPr>
      <w:r w:rsidRPr="00BF4EA0">
        <w:rPr>
          <w:rFonts w:ascii="Franklin Gothic Medium" w:hAnsi="Franklin Gothic Medium" w:cs="Franklin Gothic Medium"/>
          <w:color w:val="7030A0"/>
          <w:sz w:val="28"/>
          <w:szCs w:val="28"/>
        </w:rPr>
        <w:t>BASE DE DATOS:</w:t>
      </w:r>
      <w:r>
        <w:rPr>
          <w:rFonts w:ascii="Franklin Gothic Medium" w:hAnsi="Franklin Gothic Medium" w:cs="Franklin Gothic Medium"/>
          <w:color w:val="7030A0"/>
          <w:sz w:val="40"/>
          <w:szCs w:val="40"/>
        </w:rPr>
        <w:t xml:space="preserve"> </w:t>
      </w:r>
      <w:r w:rsidR="000058A5" w:rsidRPr="000058A5">
        <w:rPr>
          <w:rFonts w:ascii="Tahoma" w:hAnsi="Tahoma" w:cs="Tahoma"/>
          <w:color w:val="008E40"/>
          <w:sz w:val="24"/>
          <w:szCs w:val="24"/>
        </w:rPr>
        <w:t xml:space="preserve">Una </w:t>
      </w:r>
      <w:r w:rsidR="000058A5" w:rsidRPr="000058A5">
        <w:rPr>
          <w:rFonts w:ascii="Tahoma" w:hAnsi="Tahoma" w:cs="Tahoma"/>
          <w:i/>
          <w:iCs/>
          <w:color w:val="008E40"/>
          <w:sz w:val="24"/>
          <w:szCs w:val="24"/>
        </w:rPr>
        <w:t>base de datos</w:t>
      </w:r>
      <w:r w:rsidR="000058A5" w:rsidRPr="000058A5">
        <w:rPr>
          <w:rFonts w:ascii="Tahoma" w:hAnsi="Tahoma" w:cs="Tahoma"/>
          <w:color w:val="008E40"/>
          <w:sz w:val="24"/>
          <w:szCs w:val="24"/>
        </w:rPr>
        <w:t xml:space="preserve"> es un conjunto de elementos de datos interrelacionados, administrados</w:t>
      </w:r>
      <w:r w:rsidR="000058A5">
        <w:rPr>
          <w:rFonts w:ascii="Tahoma" w:hAnsi="Tahoma" w:cs="Tahoma"/>
          <w:color w:val="008E40"/>
          <w:sz w:val="24"/>
          <w:szCs w:val="24"/>
        </w:rPr>
        <w:t xml:space="preserve"> </w:t>
      </w:r>
      <w:r w:rsidR="000058A5" w:rsidRPr="000058A5">
        <w:rPr>
          <w:rFonts w:ascii="Tahoma" w:hAnsi="Tahoma" w:cs="Tahoma"/>
          <w:color w:val="008E40"/>
          <w:sz w:val="24"/>
          <w:szCs w:val="24"/>
        </w:rPr>
        <w:t>como unidad. Esta definición es deliberadamente amplia porq</w:t>
      </w:r>
      <w:r w:rsidR="000058A5">
        <w:rPr>
          <w:rFonts w:ascii="Tahoma" w:hAnsi="Tahoma" w:cs="Tahoma"/>
          <w:color w:val="008E40"/>
          <w:sz w:val="24"/>
          <w:szCs w:val="24"/>
        </w:rPr>
        <w:t xml:space="preserve">ue existe mucha variación entre </w:t>
      </w:r>
      <w:r w:rsidR="000058A5" w:rsidRPr="000058A5">
        <w:rPr>
          <w:rFonts w:ascii="Tahoma" w:hAnsi="Tahoma" w:cs="Tahoma"/>
          <w:color w:val="008E40"/>
          <w:sz w:val="24"/>
          <w:szCs w:val="24"/>
        </w:rPr>
        <w:t xml:space="preserve">los diferentes vendedores de software que ofrecen sistemas </w:t>
      </w:r>
      <w:r w:rsidR="000058A5">
        <w:rPr>
          <w:rFonts w:ascii="Tahoma" w:hAnsi="Tahoma" w:cs="Tahoma"/>
          <w:color w:val="008E40"/>
          <w:sz w:val="24"/>
          <w:szCs w:val="24"/>
        </w:rPr>
        <w:t xml:space="preserve">de bases de datos. </w:t>
      </w:r>
    </w:p>
    <w:p w:rsidR="000058A5" w:rsidRDefault="000058A5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p w:rsidR="000058A5" w:rsidRDefault="000058A5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p w:rsidR="00C4287D" w:rsidRDefault="00BF4EA0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  <w:r w:rsidRPr="00BF4EA0">
        <w:rPr>
          <w:rFonts w:ascii="Franklin Gothic Medium" w:hAnsi="Franklin Gothic Medium" w:cs="Tahoma"/>
          <w:b/>
          <w:color w:val="7030A0"/>
          <w:sz w:val="28"/>
          <w:szCs w:val="28"/>
        </w:rPr>
        <w:t>EJEMPLO:</w:t>
      </w:r>
      <w:r w:rsidRPr="00BF4EA0">
        <w:rPr>
          <w:rFonts w:ascii="Franklin Gothic Medium" w:hAnsi="Franklin Gothic Medium" w:cs="Tahoma"/>
          <w:b/>
          <w:color w:val="7030A0"/>
          <w:sz w:val="24"/>
          <w:szCs w:val="24"/>
        </w:rPr>
        <w:t xml:space="preserve"> </w:t>
      </w:r>
      <w:r w:rsidR="000058A5" w:rsidRPr="000058A5">
        <w:rPr>
          <w:rFonts w:ascii="Tahoma" w:hAnsi="Tahoma" w:cs="Tahoma"/>
          <w:color w:val="008E40"/>
          <w:sz w:val="24"/>
          <w:szCs w:val="24"/>
        </w:rPr>
        <w:t>Microsoft Access pone toda la base de datos en un solo a</w:t>
      </w:r>
      <w:r w:rsidR="000058A5">
        <w:rPr>
          <w:rFonts w:ascii="Tahoma" w:hAnsi="Tahoma" w:cs="Tahoma"/>
          <w:color w:val="008E40"/>
          <w:sz w:val="24"/>
          <w:szCs w:val="24"/>
        </w:rPr>
        <w:t xml:space="preserve">rchivo, de modo que una base de </w:t>
      </w:r>
      <w:r w:rsidR="000058A5" w:rsidRPr="000058A5">
        <w:rPr>
          <w:rFonts w:ascii="Tahoma" w:hAnsi="Tahoma" w:cs="Tahoma"/>
          <w:color w:val="008E40"/>
          <w:sz w:val="24"/>
          <w:szCs w:val="24"/>
        </w:rPr>
        <w:t>datos de Access puede definirse como el archivo que contiene los elementos de datos.</w:t>
      </w:r>
    </w:p>
    <w:p w:rsidR="00A569F0" w:rsidRDefault="00A569F0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p w:rsidR="00A569F0" w:rsidRDefault="00A569F0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p w:rsidR="00A569F0" w:rsidRDefault="00A569F0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p w:rsidR="00A569F0" w:rsidRDefault="00A569F0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bookmarkStart w:id="0" w:name="_GoBack"/>
    <w:p w:rsidR="00A569F0" w:rsidRPr="001C528A" w:rsidRDefault="00A569F0" w:rsidP="00A569F0">
      <w:pPr>
        <w:jc w:val="center"/>
        <w:rPr>
          <w:rFonts w:ascii="Franklin Gothic Medium" w:hAnsi="Franklin Gothic Medium"/>
          <w:b/>
          <w:color w:val="7030A0"/>
        </w:rPr>
      </w:pPr>
      <w:sdt>
        <w:sdtPr>
          <w:rPr>
            <w:rFonts w:ascii="Franklin Gothic Medium" w:hAnsi="Franklin Gothic Medium"/>
            <w:b/>
            <w:color w:val="7030A0"/>
          </w:rPr>
          <w:id w:val="-1562168524"/>
          <w:citation/>
        </w:sdtPr>
        <w:sdtContent>
          <w:r w:rsidRPr="001C528A">
            <w:rPr>
              <w:rFonts w:ascii="Franklin Gothic Medium" w:hAnsi="Franklin Gothic Medium"/>
              <w:b/>
              <w:color w:val="7030A0"/>
            </w:rPr>
            <w:fldChar w:fldCharType="begin"/>
          </w:r>
          <w:r w:rsidRPr="001C528A">
            <w:rPr>
              <w:rFonts w:ascii="Franklin Gothic Medium" w:hAnsi="Franklin Gothic Medium"/>
              <w:b/>
              <w:color w:val="7030A0"/>
            </w:rPr>
            <w:instrText xml:space="preserve">CITATION Sil021 \p 4 \l 2058 </w:instrText>
          </w:r>
          <w:r w:rsidRPr="001C528A">
            <w:rPr>
              <w:rFonts w:ascii="Franklin Gothic Medium" w:hAnsi="Franklin Gothic Medium"/>
              <w:b/>
              <w:color w:val="7030A0"/>
            </w:rPr>
            <w:fldChar w:fldCharType="separate"/>
          </w:r>
          <w:r w:rsidRPr="001C528A">
            <w:rPr>
              <w:rFonts w:ascii="Franklin Gothic Medium" w:hAnsi="Franklin Gothic Medium"/>
              <w:b/>
              <w:noProof/>
              <w:color w:val="7030A0"/>
            </w:rPr>
            <w:t>(Andy Oppel, 2004, pág. 4)</w:t>
          </w:r>
          <w:r w:rsidRPr="001C528A">
            <w:rPr>
              <w:rFonts w:ascii="Franklin Gothic Medium" w:hAnsi="Franklin Gothic Medium"/>
              <w:b/>
              <w:color w:val="7030A0"/>
            </w:rPr>
            <w:fldChar w:fldCharType="end"/>
          </w:r>
        </w:sdtContent>
      </w:sdt>
    </w:p>
    <w:bookmarkEnd w:id="0"/>
    <w:p w:rsidR="00A569F0" w:rsidRPr="00BF4EA0" w:rsidRDefault="00A569F0" w:rsidP="00BF4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7030A0"/>
          <w:sz w:val="24"/>
          <w:szCs w:val="24"/>
        </w:rPr>
      </w:pPr>
    </w:p>
    <w:sectPr w:rsidR="00A569F0" w:rsidRPr="00BF4EA0" w:rsidSect="000058A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5"/>
    <w:rsid w:val="000058A5"/>
    <w:rsid w:val="001C528A"/>
    <w:rsid w:val="009924A7"/>
    <w:rsid w:val="00A569F0"/>
    <w:rsid w:val="00BF4EA0"/>
    <w:rsid w:val="00C4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A9B8C-3A57-4AC7-BBA5-FB273129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{17B83028-838A-4C35-8431-5F237E40B167}</b:Guid>
    <b:Author>
      <b:Author>
        <b:NameList>
          <b:Person>
            <b:Last>Andy Oppel</b:Last>
          </b:Person>
        </b:NameList>
      </b:Author>
    </b:Author>
    <b:Title>Fundamentos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E96744B2-E8FA-4307-ADB0-E0901EA5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dc:description/>
  <cp:lastModifiedBy>Lanix</cp:lastModifiedBy>
  <cp:revision>4</cp:revision>
  <dcterms:created xsi:type="dcterms:W3CDTF">2019-02-09T04:39:00Z</dcterms:created>
  <dcterms:modified xsi:type="dcterms:W3CDTF">2019-02-09T04:49:00Z</dcterms:modified>
</cp:coreProperties>
</file>