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A7" w:rsidRDefault="00752BA7" w:rsidP="00752BA7">
      <w:pPr>
        <w:spacing w:before="100" w:beforeAutospacing="1" w:after="100" w:afterAutospacing="1" w:line="270" w:lineRule="atLeast"/>
        <w:jc w:val="both"/>
        <w:rPr>
          <w:rFonts w:eastAsia="Times New Roman"/>
          <w:color w:val="4B4949"/>
          <w:lang w:eastAsia="es-CO"/>
        </w:rPr>
      </w:pPr>
      <w:bookmarkStart w:id="0" w:name="911"/>
      <w:r w:rsidRPr="0020439E">
        <w:rPr>
          <w:rFonts w:eastAsia="Times New Roman"/>
          <w:b/>
          <w:bCs/>
          <w:color w:val="0073FF"/>
          <w:lang w:eastAsia="es-CO"/>
        </w:rPr>
        <w:t>ARTÍCULO 911. RETENCIONES Y AUTORRETENCIONES EN LA FUENTE EN EL IMPUESTO UNIFICADO BAJO EL RÉGIMEN SIMPLE DE TRIBUTACIÓN (SIMPLE).</w:t>
      </w:r>
      <w:bookmarkEnd w:id="0"/>
      <w:r w:rsidRPr="0020439E">
        <w:rPr>
          <w:rFonts w:eastAsia="Times New Roman"/>
          <w:b/>
          <w:bCs/>
          <w:color w:val="000000"/>
          <w:lang w:eastAsia="es-CO"/>
        </w:rPr>
        <w:t> </w:t>
      </w:r>
      <w:r w:rsidRPr="0020439E">
        <w:rPr>
          <w:rFonts w:eastAsia="Times New Roman"/>
          <w:color w:val="4B4949"/>
          <w:lang w:eastAsia="es-CO"/>
        </w:rPr>
        <w:t xml:space="preserve"> </w:t>
      </w:r>
    </w:p>
    <w:p w:rsidR="00752BA7" w:rsidRDefault="00752BA7" w:rsidP="00752BA7">
      <w:pPr>
        <w:spacing w:before="100" w:beforeAutospacing="1" w:after="100" w:afterAutospacing="1" w:line="270" w:lineRule="atLeast"/>
        <w:jc w:val="both"/>
        <w:rPr>
          <w:rFonts w:eastAsia="Times New Roman"/>
          <w:color w:val="4B4949"/>
          <w:lang w:eastAsia="es-CO"/>
        </w:rPr>
      </w:pPr>
      <w:r w:rsidRPr="0020439E">
        <w:rPr>
          <w:rFonts w:eastAsia="Times New Roman"/>
          <w:color w:val="4B4949"/>
          <w:lang w:eastAsia="es-CO"/>
        </w:rPr>
        <w:t>Los contribuyentes no estarán sujetos a retención en la fuente y tampoco estarán obligados a practicar retenciones y autorretenciones e</w:t>
      </w:r>
      <w:bookmarkStart w:id="1" w:name="_GoBack"/>
      <w:bookmarkEnd w:id="1"/>
      <w:r w:rsidRPr="0020439E">
        <w:rPr>
          <w:rFonts w:eastAsia="Times New Roman"/>
          <w:color w:val="4B4949"/>
          <w:lang w:eastAsia="es-CO"/>
        </w:rPr>
        <w:t xml:space="preserve">n la fuente, con excepción de las correspondientes a pagos laborales. </w:t>
      </w:r>
    </w:p>
    <w:p w:rsidR="00752BA7" w:rsidRPr="00725C91" w:rsidRDefault="00752BA7" w:rsidP="00752BA7">
      <w:pPr>
        <w:spacing w:before="100" w:beforeAutospacing="1" w:after="100" w:afterAutospacing="1" w:line="270" w:lineRule="atLeast"/>
        <w:jc w:val="both"/>
        <w:rPr>
          <w:rFonts w:eastAsia="Times New Roman"/>
          <w:color w:val="FF0000"/>
          <w:lang w:eastAsia="es-CO"/>
        </w:rPr>
      </w:pPr>
      <w:r w:rsidRPr="00725C91">
        <w:rPr>
          <w:rFonts w:eastAsia="Times New Roman"/>
          <w:color w:val="FF0000"/>
          <w:lang w:eastAsia="es-CO"/>
        </w:rPr>
        <w:t>En los pagos por compras de bienes o servicios realizados por los contribuyentes del impuesto unificado bajo el Régimen Simple de Tributación (Simple), el tercero receptor del pago, contribuyente del régimen ordinario y agente retenedor del impuesto sobre la renta, deberá actuar como agente autorretenedor del impuesto. Lo anterior sin perjuicio de la retención en la fuente a título del Impuesto sobre las Ventas (IVA), regulado en el numeral 9 del artículo </w:t>
      </w:r>
      <w:hyperlink r:id="rId5" w:anchor="437-2" w:history="1">
        <w:r w:rsidRPr="00725C91">
          <w:rPr>
            <w:rFonts w:eastAsia="Times New Roman"/>
            <w:color w:val="FF0000"/>
            <w:lang w:eastAsia="es-CO"/>
          </w:rPr>
          <w:t>43</w:t>
        </w:r>
        <w:r w:rsidRPr="00725C91">
          <w:rPr>
            <w:rFonts w:eastAsia="Times New Roman"/>
            <w:color w:val="FF0000"/>
            <w:lang w:eastAsia="es-CO"/>
          </w:rPr>
          <w:t>7</w:t>
        </w:r>
        <w:r w:rsidRPr="00725C91">
          <w:rPr>
            <w:rFonts w:eastAsia="Times New Roman"/>
            <w:color w:val="FF0000"/>
            <w:lang w:eastAsia="es-CO"/>
          </w:rPr>
          <w:t>-2</w:t>
        </w:r>
      </w:hyperlink>
      <w:r w:rsidRPr="00725C91">
        <w:rPr>
          <w:rFonts w:eastAsia="Times New Roman"/>
          <w:color w:val="FF0000"/>
          <w:lang w:eastAsia="es-CO"/>
        </w:rPr>
        <w:t> del Estatuto Tributario.</w:t>
      </w:r>
    </w:p>
    <w:p w:rsidR="00725C91" w:rsidRDefault="00752BA7" w:rsidP="00752BA7">
      <w:pPr>
        <w:spacing w:before="100" w:beforeAutospacing="1" w:after="100" w:afterAutospacing="1" w:line="270" w:lineRule="atLeast"/>
        <w:jc w:val="both"/>
        <w:rPr>
          <w:rFonts w:eastAsia="Times New Roman"/>
          <w:b/>
          <w:bCs/>
          <w:color w:val="000000"/>
          <w:lang w:eastAsia="es-CO"/>
        </w:rPr>
      </w:pPr>
      <w:bookmarkStart w:id="2" w:name="912"/>
      <w:r w:rsidRPr="0020439E">
        <w:rPr>
          <w:rFonts w:eastAsia="Times New Roman"/>
          <w:b/>
          <w:bCs/>
          <w:color w:val="0073FF"/>
          <w:lang w:eastAsia="es-CO"/>
        </w:rPr>
        <w:t>ARTÍCULO 912. CRÉDITO O DESCUENTO DEL IMPUESTO POR INGRESOS DE TARJETAS DE CRÉDITO, DÉBITO Y OTROS MECANISMOS DE PAGOS ELECTRÓNICOS.</w:t>
      </w:r>
      <w:bookmarkEnd w:id="2"/>
      <w:r w:rsidRPr="0020439E">
        <w:rPr>
          <w:rFonts w:eastAsia="Times New Roman"/>
          <w:b/>
          <w:bCs/>
          <w:color w:val="000000"/>
          <w:lang w:eastAsia="es-CO"/>
        </w:rPr>
        <w:t> </w:t>
      </w:r>
    </w:p>
    <w:p w:rsidR="00752BA7" w:rsidRPr="0020439E" w:rsidRDefault="00752BA7" w:rsidP="00752BA7">
      <w:pPr>
        <w:spacing w:before="100" w:beforeAutospacing="1" w:after="100" w:afterAutospacing="1" w:line="270" w:lineRule="atLeast"/>
        <w:jc w:val="both"/>
        <w:rPr>
          <w:rFonts w:eastAsia="Times New Roman"/>
          <w:color w:val="4B4949"/>
          <w:lang w:eastAsia="es-CO"/>
        </w:rPr>
      </w:pPr>
      <w:r w:rsidRPr="0020439E">
        <w:rPr>
          <w:rFonts w:eastAsia="Times New Roman"/>
          <w:color w:val="4B4949"/>
          <w:lang w:eastAsia="es-CO"/>
        </w:rPr>
        <w:t>Los pagos o abonos en cuenta susceptibles de constituir ingreso tributario por concepto de ventas de bienes o servicios realizadas a través de los sistemas de tarjetas de crédito y/o débito y otros mecanismos de pagos electrónicos, generarán un crédito o descuento del impuesto a pagar equivalente al 0.5% de los in</w:t>
      </w:r>
      <w:r>
        <w:rPr>
          <w:rFonts w:eastAsia="Times New Roman"/>
          <w:color w:val="4B4949"/>
          <w:lang w:eastAsia="es-CO"/>
        </w:rPr>
        <w:t>gresos recibidos por este medio</w:t>
      </w:r>
      <w:r w:rsidRPr="0020439E">
        <w:rPr>
          <w:rFonts w:eastAsia="Times New Roman"/>
          <w:color w:val="4B4949"/>
          <w:lang w:eastAsia="es-CO"/>
        </w:rPr>
        <w:t>. Este descuento no podrá exceder el impuesto a car</w:t>
      </w:r>
      <w:r>
        <w:rPr>
          <w:rFonts w:eastAsia="Times New Roman"/>
          <w:color w:val="4B4949"/>
          <w:lang w:eastAsia="es-CO"/>
        </w:rPr>
        <w:t xml:space="preserve">go del contribuyente </w:t>
      </w:r>
      <w:r w:rsidRPr="0020439E">
        <w:rPr>
          <w:rFonts w:eastAsia="Times New Roman"/>
          <w:color w:val="4B4949"/>
          <w:lang w:eastAsia="es-CO"/>
        </w:rPr>
        <w:t>y la parte que corresponda al impuesto de industria y comercio consolidado, no podrá ser cubierta con dicho descuento.</w:t>
      </w:r>
    </w:p>
    <w:p w:rsidR="00752BA7" w:rsidRPr="0020439E" w:rsidRDefault="00752BA7" w:rsidP="00752BA7">
      <w:pPr>
        <w:spacing w:before="100" w:beforeAutospacing="1" w:after="100" w:afterAutospacing="1" w:line="270" w:lineRule="atLeast"/>
        <w:jc w:val="both"/>
        <w:rPr>
          <w:rFonts w:eastAsia="Times New Roman"/>
          <w:color w:val="4B4949"/>
          <w:lang w:eastAsia="es-CO"/>
        </w:rPr>
      </w:pPr>
      <w:bookmarkStart w:id="3" w:name="915"/>
      <w:r w:rsidRPr="0020439E">
        <w:rPr>
          <w:rFonts w:eastAsia="Times New Roman"/>
          <w:b/>
          <w:bCs/>
          <w:color w:val="0073FF"/>
          <w:lang w:eastAsia="es-CO"/>
        </w:rPr>
        <w:t>ARTÍCULO 915. RÉGIMEN DE IVA Y DE IMPUESTO AL CONSUMO.</w:t>
      </w:r>
      <w:bookmarkEnd w:id="3"/>
      <w:r>
        <w:rPr>
          <w:rFonts w:eastAsia="Times New Roman"/>
          <w:b/>
          <w:bCs/>
          <w:color w:val="000000"/>
          <w:lang w:eastAsia="es-CO"/>
        </w:rPr>
        <w:t xml:space="preserve"> </w:t>
      </w:r>
      <w:r w:rsidRPr="0020439E">
        <w:rPr>
          <w:rFonts w:eastAsia="Times New Roman"/>
          <w:color w:val="4B4949"/>
          <w:lang w:eastAsia="es-CO"/>
        </w:rPr>
        <w:t>Los contribuyentes del impuesto unificado bajo el Régimen Simple de Tributación (Simple) son responsables del Impuesto sobre las Ventas (IVA) o del impuesto nacional al consumo.</w:t>
      </w:r>
    </w:p>
    <w:p w:rsidR="00752BA7" w:rsidRPr="0020439E" w:rsidRDefault="00752BA7" w:rsidP="00752BA7">
      <w:pPr>
        <w:spacing w:before="100" w:beforeAutospacing="1" w:after="100" w:afterAutospacing="1" w:line="270" w:lineRule="atLeast"/>
        <w:jc w:val="both"/>
        <w:rPr>
          <w:rFonts w:eastAsia="Times New Roman"/>
          <w:color w:val="4B4949"/>
          <w:lang w:eastAsia="es-CO"/>
        </w:rPr>
      </w:pPr>
      <w:r w:rsidRPr="0020439E">
        <w:rPr>
          <w:rFonts w:eastAsia="Times New Roman"/>
          <w:color w:val="4B4949"/>
          <w:lang w:eastAsia="es-CO"/>
        </w:rPr>
        <w:t xml:space="preserve">En el caso de los contribuyentes del impuesto unificado bajo el Régimen Simple de Tributación (Simple) que sean responsables del Impuesto sobre las Ventas (IVA), presentarán una declaración anual consolidada del Impuesto sobre las Ventas (IVA), sin perjuicio de la obligación de transferir el IVA mensual a pagar mediante el mecanismo del recibo electrónico Simple. En el caso de los contribuyentes </w:t>
      </w:r>
      <w:r>
        <w:rPr>
          <w:rFonts w:eastAsia="Times New Roman"/>
          <w:color w:val="4B4949"/>
          <w:lang w:eastAsia="es-CO"/>
        </w:rPr>
        <w:t xml:space="preserve"> que </w:t>
      </w:r>
      <w:r w:rsidRPr="0020439E">
        <w:rPr>
          <w:rFonts w:eastAsia="Times New Roman"/>
          <w:color w:val="4B4949"/>
          <w:lang w:eastAsia="es-CO"/>
        </w:rPr>
        <w:t>desarrollen actividades de expendio de comidas y bebidas, el impuesto al consumo se declara y paga mediante el Simple.</w:t>
      </w:r>
    </w:p>
    <w:p w:rsidR="00752BA7" w:rsidRPr="0020439E" w:rsidRDefault="00752BA7" w:rsidP="00752BA7">
      <w:pPr>
        <w:spacing w:before="100" w:beforeAutospacing="1" w:after="100" w:afterAutospacing="1" w:line="270" w:lineRule="atLeast"/>
        <w:jc w:val="both"/>
        <w:rPr>
          <w:rFonts w:eastAsia="Times New Roman"/>
          <w:color w:val="4B4949"/>
          <w:lang w:eastAsia="es-CO"/>
        </w:rPr>
      </w:pPr>
      <w:r w:rsidRPr="0020439E">
        <w:rPr>
          <w:rFonts w:eastAsia="Times New Roman"/>
          <w:color w:val="4B4949"/>
          <w:lang w:eastAsia="es-CO"/>
        </w:rPr>
        <w:t>Los contribuyentes están obligados a expedir facturas electrónicas y a solicitar las facturas o documento equivalente a sus proveedores de bienes y servicios, según las normas generales consagradas en el marco tributario.</w:t>
      </w:r>
    </w:p>
    <w:p w:rsidR="00752BA7" w:rsidRPr="0020439E" w:rsidRDefault="00752BA7" w:rsidP="00752BA7">
      <w:pPr>
        <w:spacing w:before="100" w:beforeAutospacing="1" w:after="100" w:afterAutospacing="1" w:line="270" w:lineRule="atLeast"/>
        <w:jc w:val="both"/>
        <w:rPr>
          <w:rFonts w:eastAsia="Times New Roman"/>
          <w:color w:val="4B4949"/>
          <w:lang w:eastAsia="es-CO"/>
        </w:rPr>
      </w:pPr>
      <w:r w:rsidRPr="0020439E">
        <w:rPr>
          <w:rFonts w:eastAsia="Times New Roman"/>
          <w:b/>
          <w:bCs/>
          <w:color w:val="000000"/>
          <w:lang w:eastAsia="es-CO"/>
        </w:rPr>
        <w:t>PARÁGRAFO.</w:t>
      </w:r>
      <w:r w:rsidRPr="0020439E">
        <w:rPr>
          <w:rFonts w:eastAsia="Times New Roman"/>
          <w:color w:val="4B4949"/>
          <w:lang w:eastAsia="es-CO"/>
        </w:rPr>
        <w:t> Cuando un contribuyente sea responsable del Impuesto sobre las Ventas (IVA), en virtud del desarrollo de una o más actividades descritas en el numeral 1 del artículo </w:t>
      </w:r>
      <w:hyperlink r:id="rId6" w:anchor="908" w:history="1">
        <w:r w:rsidRPr="0020439E">
          <w:rPr>
            <w:rFonts w:eastAsia="Times New Roman"/>
            <w:color w:val="0073FF"/>
            <w:lang w:eastAsia="es-CO"/>
          </w:rPr>
          <w:t>908</w:t>
        </w:r>
      </w:hyperlink>
      <w:r w:rsidRPr="0020439E">
        <w:rPr>
          <w:rFonts w:eastAsia="Times New Roman"/>
          <w:color w:val="4B4949"/>
          <w:lang w:eastAsia="es-CO"/>
        </w:rPr>
        <w:t> de este Estatuto, no tienen derecho a solicitar impuestos descontables.</w:t>
      </w:r>
    </w:p>
    <w:p w:rsidR="00752BA7" w:rsidRPr="0020439E" w:rsidRDefault="00752BA7" w:rsidP="00752BA7">
      <w:pPr>
        <w:spacing w:before="100" w:beforeAutospacing="1" w:after="100" w:afterAutospacing="1" w:line="270" w:lineRule="atLeast"/>
        <w:jc w:val="both"/>
        <w:rPr>
          <w:rFonts w:eastAsia="Times New Roman"/>
          <w:color w:val="4B4949"/>
          <w:lang w:eastAsia="es-CO"/>
        </w:rPr>
      </w:pPr>
      <w:r w:rsidRPr="0020439E">
        <w:rPr>
          <w:rFonts w:eastAsia="Times New Roman"/>
          <w:b/>
          <w:bCs/>
          <w:color w:val="000000"/>
          <w:lang w:eastAsia="es-CO"/>
        </w:rPr>
        <w:lastRenderedPageBreak/>
        <w:t>PARÁGRAFO TRANSITORIO. </w:t>
      </w:r>
      <w:r w:rsidRPr="0020439E">
        <w:rPr>
          <w:rFonts w:eastAsia="Times New Roman"/>
          <w:color w:val="4B4949"/>
          <w:lang w:eastAsia="es-CO"/>
        </w:rPr>
        <w:t xml:space="preserve">Los contribuyentes que opten por el impuesto unificado bajo el Régimen Simple de Tributación (Simple), tendrán plazo para adoptar el sistema de factura electrónica hasta el </w:t>
      </w:r>
      <w:r w:rsidRPr="0020439E">
        <w:rPr>
          <w:rFonts w:eastAsia="Times New Roman"/>
          <w:b/>
          <w:color w:val="5B9BD5" w:themeColor="accent1"/>
          <w:lang w:eastAsia="es-CO"/>
        </w:rPr>
        <w:t>31 de agosto de 2019.</w:t>
      </w:r>
    </w:p>
    <w:p w:rsidR="00B15ED8" w:rsidRDefault="00B15ED8" w:rsidP="00752BA7"/>
    <w:p w:rsidR="00B15ED8" w:rsidRDefault="00B15ED8" w:rsidP="00752BA7"/>
    <w:p w:rsidR="00B15ED8" w:rsidRDefault="00B15ED8" w:rsidP="00752BA7"/>
    <w:p w:rsidR="00B15ED8" w:rsidRDefault="00B15ED8" w:rsidP="00752BA7"/>
    <w:p w:rsidR="00B15ED8" w:rsidRDefault="00B15ED8" w:rsidP="00752BA7"/>
    <w:p w:rsidR="00B15ED8" w:rsidRDefault="00B15ED8" w:rsidP="00752BA7"/>
    <w:p w:rsidR="00B15ED8" w:rsidRDefault="00B15ED8" w:rsidP="00752BA7"/>
    <w:p w:rsidR="00B15ED8" w:rsidRDefault="00B15ED8" w:rsidP="00752BA7"/>
    <w:p w:rsidR="00B15ED8" w:rsidRDefault="00B15ED8" w:rsidP="00752BA7"/>
    <w:p w:rsidR="00B15ED8" w:rsidRDefault="00B15ED8" w:rsidP="00752BA7"/>
    <w:p w:rsidR="00752BA7" w:rsidRPr="0020439E" w:rsidRDefault="00752BA7" w:rsidP="00752BA7"/>
    <w:p w:rsidR="00512B03" w:rsidRDefault="002573DD"/>
    <w:p w:rsidR="00B15ED8" w:rsidRDefault="00B15ED8"/>
    <w:sectPr w:rsidR="00B15ED8" w:rsidSect="002573D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A7"/>
    <w:rsid w:val="001041F4"/>
    <w:rsid w:val="002517A0"/>
    <w:rsid w:val="002573DD"/>
    <w:rsid w:val="00271D8A"/>
    <w:rsid w:val="002C3FB0"/>
    <w:rsid w:val="003C7A83"/>
    <w:rsid w:val="00566CE7"/>
    <w:rsid w:val="00725C91"/>
    <w:rsid w:val="00752BA7"/>
    <w:rsid w:val="008175BD"/>
    <w:rsid w:val="00B15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FBC7"/>
  <w15:chartTrackingRefBased/>
  <w15:docId w15:val="{69FEBFAD-6E5C-44F9-946B-0D479F91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2BA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cretariasenado.gov.co/senado/basedoc/estatuto_tributario.html" TargetMode="External"/><Relationship Id="rId5" Type="http://schemas.openxmlformats.org/officeDocument/2006/relationships/hyperlink" Target="http://www.secretariasenado.gov.co/senado/basedoc/estatuto_tributario_pr017.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F038-A382-4888-BD1E-3263FE45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487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sandoval</dc:creator>
  <cp:keywords/>
  <dc:description/>
  <cp:lastModifiedBy>daniela sandoval</cp:lastModifiedBy>
  <cp:revision>1</cp:revision>
  <dcterms:created xsi:type="dcterms:W3CDTF">2019-05-11T03:30:00Z</dcterms:created>
  <dcterms:modified xsi:type="dcterms:W3CDTF">2019-05-11T04:48:00Z</dcterms:modified>
</cp:coreProperties>
</file>