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1B9B" w14:textId="195AA78E" w:rsidR="009327E6" w:rsidRPr="009327E6" w:rsidRDefault="009327E6" w:rsidP="009327E6">
      <w:pPr>
        <w:jc w:val="both"/>
        <w:rPr>
          <w:rFonts w:ascii="Arial" w:hAnsi="Arial" w:cs="Arial"/>
          <w:b/>
          <w:sz w:val="28"/>
        </w:rPr>
      </w:pPr>
      <w:r w:rsidRPr="009327E6">
        <w:rPr>
          <w:rFonts w:ascii="Arial" w:hAnsi="Arial" w:cs="Arial"/>
          <w:b/>
          <w:sz w:val="28"/>
        </w:rPr>
        <w:t>Restricciones de dominio</w:t>
      </w:r>
      <w:r w:rsidRPr="009327E6">
        <w:rPr>
          <w:rFonts w:ascii="Arial" w:hAnsi="Arial" w:cs="Arial"/>
          <w:b/>
          <w:sz w:val="28"/>
        </w:rPr>
        <w:t>:</w:t>
      </w:r>
    </w:p>
    <w:p w14:paraId="45DAB5F2" w14:textId="72DEB83D" w:rsidR="009327E6" w:rsidRPr="009327E6" w:rsidRDefault="009327E6" w:rsidP="009327E6">
      <w:pPr>
        <w:jc w:val="both"/>
        <w:rPr>
          <w:rFonts w:ascii="Arial" w:hAnsi="Arial" w:cs="Arial"/>
          <w:noProof/>
        </w:rPr>
      </w:pPr>
      <w:r w:rsidRPr="009327E6">
        <w:rPr>
          <w:rFonts w:ascii="Arial" w:hAnsi="Arial" w:cs="Arial"/>
        </w:rPr>
        <w:t>“</w:t>
      </w:r>
      <w:r w:rsidRPr="009327E6">
        <w:rPr>
          <w:rFonts w:ascii="Arial" w:hAnsi="Arial" w:cs="Arial"/>
        </w:rPr>
        <w:t xml:space="preserve">Las restricciones de dominio especifican </w:t>
      </w:r>
      <w:proofErr w:type="gramStart"/>
      <w:r w:rsidRPr="009327E6">
        <w:rPr>
          <w:rFonts w:ascii="Arial" w:hAnsi="Arial" w:cs="Arial"/>
        </w:rPr>
        <w:t>que</w:t>
      </w:r>
      <w:proofErr w:type="gramEnd"/>
      <w:r w:rsidRPr="009327E6">
        <w:rPr>
          <w:rFonts w:ascii="Arial" w:hAnsi="Arial" w:cs="Arial"/>
        </w:rPr>
        <w:t xml:space="preserve"> dentro de cada tupla, el valor de un atributo A debe ser un valor atómico del dominio </w:t>
      </w:r>
      <w:proofErr w:type="spellStart"/>
      <w:r w:rsidRPr="009327E6">
        <w:rPr>
          <w:rFonts w:ascii="Arial" w:hAnsi="Arial" w:cs="Arial"/>
        </w:rPr>
        <w:t>dom</w:t>
      </w:r>
      <w:proofErr w:type="spellEnd"/>
      <w:r w:rsidRPr="009327E6">
        <w:rPr>
          <w:rFonts w:ascii="Arial" w:hAnsi="Arial" w:cs="Arial"/>
        </w:rPr>
        <w:t>(A).</w:t>
      </w:r>
      <w:r w:rsidRPr="009327E6">
        <w:rPr>
          <w:rFonts w:ascii="Arial" w:hAnsi="Arial" w:cs="Arial"/>
        </w:rPr>
        <w:t xml:space="preserve"> </w:t>
      </w:r>
      <w:r w:rsidRPr="009327E6">
        <w:rPr>
          <w:rFonts w:ascii="Arial" w:hAnsi="Arial" w:cs="Arial"/>
        </w:rPr>
        <w:t xml:space="preserve">Los tipos de datos asociados a ellos suelen incluir valores numéricos estándar para datos enteros (como entero corto, entero o entero largo) y reales (de coma flotante de simple y doble precisión). También están disponibles tipos de datos para el almacenamiento de caracteres, valores lógicos, cadenas de longitud fija y variable, fechas, horas y moneda. Es posible describir otros dominios como un </w:t>
      </w:r>
      <w:proofErr w:type="spellStart"/>
      <w:r w:rsidRPr="009327E6">
        <w:rPr>
          <w:rFonts w:ascii="Arial" w:hAnsi="Arial" w:cs="Arial"/>
        </w:rPr>
        <w:t>subrango</w:t>
      </w:r>
      <w:proofErr w:type="spellEnd"/>
      <w:r w:rsidRPr="009327E6">
        <w:rPr>
          <w:rFonts w:ascii="Arial" w:hAnsi="Arial" w:cs="Arial"/>
        </w:rPr>
        <w:t xml:space="preserve"> de valores de un tipo de dato, o como un tipo de dato enumerado en el que todos sus posibles valores están explícitamente listados.</w:t>
      </w:r>
      <w:r w:rsidRPr="009327E6">
        <w:rPr>
          <w:rFonts w:ascii="Arial" w:hAnsi="Arial" w:cs="Arial"/>
        </w:rPr>
        <w:t>”</w:t>
      </w:r>
    </w:p>
    <w:p w14:paraId="389D317B" w14:textId="77777777" w:rsidR="009327E6" w:rsidRPr="009327E6" w:rsidRDefault="009327E6" w:rsidP="009327E6">
      <w:pPr>
        <w:jc w:val="both"/>
        <w:rPr>
          <w:rFonts w:ascii="Arial" w:hAnsi="Arial" w:cs="Arial"/>
          <w:noProof/>
        </w:rPr>
      </w:pPr>
    </w:p>
    <w:p w14:paraId="1152036A" w14:textId="288D9810" w:rsidR="009327E6" w:rsidRPr="009327E6" w:rsidRDefault="009327E6" w:rsidP="009327E6">
      <w:pPr>
        <w:jc w:val="both"/>
        <w:rPr>
          <w:rFonts w:ascii="Arial" w:hAnsi="Arial" w:cs="Arial"/>
        </w:rPr>
      </w:pPr>
      <w:r w:rsidRPr="009327E6">
        <w:rPr>
          <w:rFonts w:ascii="Arial" w:hAnsi="Arial" w:cs="Arial"/>
          <w:noProof/>
        </w:rPr>
        <w:t xml:space="preserve">(Elmasri &amp; Navathe, 2007, pág. </w:t>
      </w:r>
      <w:r w:rsidRPr="009327E6">
        <w:rPr>
          <w:rFonts w:ascii="Arial" w:hAnsi="Arial" w:cs="Arial"/>
          <w:noProof/>
        </w:rPr>
        <w:t>130</w:t>
      </w:r>
      <w:r w:rsidRPr="009327E6">
        <w:rPr>
          <w:rFonts w:ascii="Arial" w:hAnsi="Arial" w:cs="Arial"/>
          <w:noProof/>
        </w:rPr>
        <w:t>)</w:t>
      </w:r>
    </w:p>
    <w:p w14:paraId="481B96F0" w14:textId="77777777" w:rsidR="003613F1" w:rsidRDefault="003613F1">
      <w:bookmarkStart w:id="0" w:name="_GoBack"/>
      <w:bookmarkEnd w:id="0"/>
    </w:p>
    <w:sectPr w:rsidR="00361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0E"/>
    <w:rsid w:val="003613F1"/>
    <w:rsid w:val="0079200E"/>
    <w:rsid w:val="009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AC63"/>
  <w15:chartTrackingRefBased/>
  <w15:docId w15:val="{C712D257-1E5A-4BDA-B448-3659D715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7E6"/>
    <w:rPr>
      <w:rFonts w:eastAsiaTheme="minorEastAsia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Morales Gutierrez</dc:creator>
  <cp:keywords/>
  <dc:description/>
  <cp:lastModifiedBy>Victoria Morales Gutierrez</cp:lastModifiedBy>
  <cp:revision>2</cp:revision>
  <dcterms:created xsi:type="dcterms:W3CDTF">2019-03-21T19:00:00Z</dcterms:created>
  <dcterms:modified xsi:type="dcterms:W3CDTF">2019-03-21T19:07:00Z</dcterms:modified>
</cp:coreProperties>
</file>