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97" w:rsidRDefault="00806446" w:rsidP="00806446">
      <w:pPr>
        <w:jc w:val="both"/>
        <w:rPr>
          <w:sz w:val="32"/>
        </w:rPr>
      </w:pPr>
      <w:r w:rsidRPr="00806446">
        <w:rPr>
          <w:sz w:val="44"/>
        </w:rPr>
        <w:t>Tejidos</w:t>
      </w:r>
      <w:r w:rsidRPr="00806446">
        <w:rPr>
          <w:sz w:val="32"/>
        </w:rPr>
        <w:t>: En el segundo nivel de organización encontramos a los tejidos o grupos de células similares entre sí en forma y función (como el tejido nervioso y el muscular), que a su vez se organizan sistemáticamente con otros tejidos para conformar, en un tercer nivel, a los órganos (como el corazón, los riñones y los pulmones) que se realizan acciones específicas dentro del organismo</w:t>
      </w:r>
      <w:r>
        <w:rPr>
          <w:sz w:val="32"/>
        </w:rPr>
        <w:t>.</w:t>
      </w:r>
    </w:p>
    <w:p w:rsidR="008B3C5A" w:rsidRDefault="008B3C5A" w:rsidP="00806446">
      <w:pPr>
        <w:jc w:val="both"/>
        <w:rPr>
          <w:sz w:val="32"/>
        </w:rPr>
      </w:pPr>
    </w:p>
    <w:p w:rsidR="008B3C5A" w:rsidRDefault="008B3C5A" w:rsidP="00806446">
      <w:pPr>
        <w:jc w:val="both"/>
      </w:pPr>
      <w:r>
        <w:rPr>
          <w:noProof/>
          <w:lang w:eastAsia="es-MX"/>
        </w:rPr>
        <w:drawing>
          <wp:inline distT="0" distB="0" distL="0" distR="0">
            <wp:extent cx="5612130" cy="4209098"/>
            <wp:effectExtent l="0" t="0" r="7620" b="1270"/>
            <wp:docPr id="1" name="Imagen 1" descr="Resultado de imagen para tejidos hum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ejidos huma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3C5A" w:rsidSect="00806446">
      <w:pgSz w:w="12240" w:h="15840"/>
      <w:pgMar w:top="1417" w:right="1701" w:bottom="1417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46"/>
    <w:rsid w:val="00806446"/>
    <w:rsid w:val="008B3C5A"/>
    <w:rsid w:val="00C3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79ACD-22E7-4261-A81E-76181B4B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2019-03-05T22:04:00Z</dcterms:created>
  <dcterms:modified xsi:type="dcterms:W3CDTF">2019-03-05T22:55:00Z</dcterms:modified>
</cp:coreProperties>
</file>