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75" w:rsidRDefault="00CA7599" w:rsidP="00CA7599">
      <w:pPr>
        <w:jc w:val="center"/>
        <w:rPr>
          <w:rFonts w:ascii="Arial" w:hAnsi="Arial" w:cs="Arial"/>
          <w:b/>
          <w:sz w:val="24"/>
          <w:szCs w:val="24"/>
        </w:rPr>
      </w:pPr>
      <w:r w:rsidRPr="00CA7599">
        <w:rPr>
          <w:rFonts w:ascii="Arial" w:hAnsi="Arial" w:cs="Arial"/>
          <w:b/>
          <w:sz w:val="24"/>
          <w:szCs w:val="24"/>
        </w:rPr>
        <w:t>TERRESTRE</w:t>
      </w: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 parte del ambiente es ocupado por la atmósfera (en la superficie terrestre o </w:t>
      </w:r>
      <w:proofErr w:type="gramStart"/>
      <w:r>
        <w:rPr>
          <w:rFonts w:ascii="Arial" w:hAnsi="Arial" w:cs="Arial"/>
          <w:sz w:val="24"/>
          <w:szCs w:val="24"/>
        </w:rPr>
        <w:t>epigeo</w:t>
      </w:r>
      <w:proofErr w:type="gramEnd"/>
      <w:r>
        <w:rPr>
          <w:rFonts w:ascii="Arial" w:hAnsi="Arial" w:cs="Arial"/>
          <w:sz w:val="24"/>
          <w:szCs w:val="24"/>
        </w:rPr>
        <w:t xml:space="preserve"> y el subterráneo o hipogeo).</w:t>
      </w: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>
            <wp:extent cx="4505325" cy="3381375"/>
            <wp:effectExtent l="0" t="0" r="9525" b="9525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p w:rsid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p w:rsidR="00CA7599" w:rsidRPr="00CA7599" w:rsidRDefault="00CA7599" w:rsidP="00CA7599">
      <w:pPr>
        <w:jc w:val="center"/>
        <w:rPr>
          <w:rFonts w:ascii="Arial" w:hAnsi="Arial" w:cs="Arial"/>
          <w:sz w:val="24"/>
          <w:szCs w:val="24"/>
        </w:rPr>
      </w:pPr>
    </w:p>
    <w:sectPr w:rsidR="00CA7599" w:rsidRPr="00CA75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9"/>
    <w:rsid w:val="00B64E75"/>
    <w:rsid w:val="00C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9602A-BBB9-4D3C-90A7-F9EF7FC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1</cp:revision>
  <dcterms:created xsi:type="dcterms:W3CDTF">2019-03-02T17:06:00Z</dcterms:created>
  <dcterms:modified xsi:type="dcterms:W3CDTF">2019-03-02T17:10:00Z</dcterms:modified>
</cp:coreProperties>
</file>