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7FC" w:rsidRPr="005607FC" w:rsidRDefault="005607FC" w:rsidP="005607FC">
      <w:pPr>
        <w:jc w:val="center"/>
        <w:rPr>
          <w:rFonts w:ascii="Arial" w:hAnsi="Arial" w:cs="Arial"/>
          <w:b/>
          <w:sz w:val="24"/>
          <w:szCs w:val="24"/>
        </w:rPr>
      </w:pPr>
      <w:r w:rsidRPr="005607FC">
        <w:rPr>
          <w:rFonts w:ascii="Arial" w:hAnsi="Arial" w:cs="Arial"/>
          <w:b/>
          <w:sz w:val="24"/>
          <w:szCs w:val="24"/>
        </w:rPr>
        <w:t>COMUNIDAD</w:t>
      </w:r>
    </w:p>
    <w:p w:rsidR="005607FC" w:rsidRDefault="005607FC" w:rsidP="005607FC">
      <w:pPr>
        <w:jc w:val="both"/>
        <w:rPr>
          <w:rFonts w:ascii="Arial" w:hAnsi="Arial" w:cs="Arial"/>
          <w:sz w:val="24"/>
          <w:szCs w:val="24"/>
        </w:rPr>
      </w:pPr>
    </w:p>
    <w:p w:rsidR="005607FC" w:rsidRDefault="005607FC" w:rsidP="005607FC">
      <w:pPr>
        <w:jc w:val="both"/>
        <w:rPr>
          <w:rFonts w:ascii="Arial" w:hAnsi="Arial" w:cs="Arial"/>
          <w:sz w:val="24"/>
          <w:szCs w:val="24"/>
        </w:rPr>
      </w:pPr>
    </w:p>
    <w:p w:rsidR="005607FC" w:rsidRDefault="005607FC" w:rsidP="005607FC">
      <w:pPr>
        <w:jc w:val="both"/>
        <w:rPr>
          <w:rFonts w:ascii="Arial" w:hAnsi="Arial" w:cs="Arial"/>
          <w:sz w:val="24"/>
          <w:szCs w:val="24"/>
        </w:rPr>
      </w:pPr>
    </w:p>
    <w:p w:rsidR="005607FC" w:rsidRPr="005607FC" w:rsidRDefault="005607FC" w:rsidP="005607FC">
      <w:pPr>
        <w:jc w:val="both"/>
        <w:rPr>
          <w:rFonts w:ascii="Arial" w:hAnsi="Arial" w:cs="Arial"/>
          <w:sz w:val="24"/>
          <w:szCs w:val="24"/>
        </w:rPr>
      </w:pPr>
      <w:r w:rsidRPr="005607FC">
        <w:rPr>
          <w:rFonts w:ascii="Arial" w:hAnsi="Arial" w:cs="Arial"/>
          <w:sz w:val="24"/>
          <w:szCs w:val="24"/>
        </w:rPr>
        <w:t>Los grupos de poblaciones de un ecosistema interactúan de varias formas. Estas poblaciones interdependientes de plantas y animales forman una comunidad, que abarca la porción biótica (viviente) del ecosistema ubicado en un área determinada.</w:t>
      </w:r>
    </w:p>
    <w:p w:rsidR="00994352" w:rsidRDefault="00994352" w:rsidP="005607FC">
      <w:pPr>
        <w:rPr>
          <w:rFonts w:ascii="Arial" w:hAnsi="Arial" w:cs="Arial"/>
          <w:sz w:val="24"/>
          <w:szCs w:val="24"/>
        </w:rPr>
      </w:pPr>
    </w:p>
    <w:p w:rsidR="005607FC" w:rsidRDefault="005607FC" w:rsidP="005607FC">
      <w:pPr>
        <w:rPr>
          <w:rFonts w:ascii="Arial" w:hAnsi="Arial" w:cs="Arial"/>
          <w:sz w:val="24"/>
          <w:szCs w:val="24"/>
        </w:rPr>
      </w:pPr>
    </w:p>
    <w:p w:rsidR="005607FC" w:rsidRDefault="005607FC" w:rsidP="005607FC">
      <w:pPr>
        <w:rPr>
          <w:rFonts w:ascii="Arial" w:hAnsi="Arial" w:cs="Arial"/>
          <w:sz w:val="24"/>
          <w:szCs w:val="24"/>
        </w:rPr>
      </w:pPr>
    </w:p>
    <w:p w:rsidR="005607FC" w:rsidRPr="005607FC" w:rsidRDefault="005607FC" w:rsidP="005607FC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5612130" cy="4206571"/>
            <wp:effectExtent l="0" t="0" r="7620" b="3810"/>
            <wp:docPr id="1" name="Imagen 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7FC" w:rsidRPr="005607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7FC"/>
    <w:rsid w:val="005607FC"/>
    <w:rsid w:val="0099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6CBCC2-5630-4E6F-A0E2-280FBA368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5607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5607FC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560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Rojas Espinosa</dc:creator>
  <cp:keywords/>
  <dc:description/>
  <cp:lastModifiedBy>Maria Rojas Espinosa</cp:lastModifiedBy>
  <cp:revision>1</cp:revision>
  <dcterms:created xsi:type="dcterms:W3CDTF">2019-03-01T22:55:00Z</dcterms:created>
  <dcterms:modified xsi:type="dcterms:W3CDTF">2019-03-01T23:04:00Z</dcterms:modified>
</cp:coreProperties>
</file>