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C2C" w:rsidRPr="002F3C2C" w:rsidRDefault="002F3C2C" w:rsidP="002F3C2C">
      <w:pPr>
        <w:spacing w:after="0" w:line="264" w:lineRule="atLeast"/>
        <w:outlineLvl w:val="0"/>
        <w:rPr>
          <w:rFonts w:ascii="Arial" w:eastAsia="Times New Roman" w:hAnsi="Arial" w:cs="Arial"/>
          <w:b/>
          <w:bCs/>
          <w:color w:val="323232"/>
          <w:spacing w:val="-5"/>
          <w:kern w:val="36"/>
          <w:sz w:val="60"/>
          <w:szCs w:val="60"/>
          <w:lang w:eastAsia="es-MX"/>
        </w:rPr>
      </w:pPr>
      <w:r w:rsidRPr="002F3C2C">
        <w:rPr>
          <w:rFonts w:ascii="Arial" w:eastAsia="Times New Roman" w:hAnsi="Arial" w:cs="Arial"/>
          <w:b/>
          <w:bCs/>
          <w:color w:val="323232"/>
          <w:spacing w:val="-5"/>
          <w:kern w:val="36"/>
          <w:sz w:val="60"/>
          <w:szCs w:val="60"/>
          <w:lang w:eastAsia="es-MX"/>
        </w:rPr>
        <w:t>Nube pública</w:t>
      </w:r>
    </w:p>
    <w:p w:rsidR="002F3C2C" w:rsidRPr="002F3C2C" w:rsidRDefault="002F3C2C" w:rsidP="002F3C2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:rsidR="002F3C2C" w:rsidRPr="002F3C2C" w:rsidRDefault="002F3C2C" w:rsidP="002F3C2C">
      <w:pPr>
        <w:shd w:val="clear" w:color="auto" w:fill="FFFFFF"/>
        <w:spacing w:after="360" w:line="401" w:lineRule="atLeast"/>
        <w:rPr>
          <w:rFonts w:ascii="Arial" w:eastAsia="Times New Roman" w:hAnsi="Arial" w:cs="Arial"/>
          <w:color w:val="6C6C6C"/>
          <w:sz w:val="27"/>
          <w:szCs w:val="27"/>
          <w:lang w:eastAsia="es-MX"/>
        </w:rPr>
      </w:pPr>
      <w:r w:rsidRPr="002F3C2C">
        <w:rPr>
          <w:rFonts w:ascii="Arial" w:eastAsia="Times New Roman" w:hAnsi="Arial" w:cs="Arial"/>
          <w:color w:val="6C6C6C"/>
          <w:sz w:val="27"/>
          <w:szCs w:val="27"/>
          <w:lang w:eastAsia="es-MX"/>
        </w:rPr>
        <w:t>Una nube pública es una basada en el modelo estándar de la </w:t>
      </w:r>
      <w:hyperlink r:id="rId5" w:history="1">
        <w:r w:rsidRPr="002F3C2C">
          <w:rPr>
            <w:rFonts w:ascii="Arial" w:eastAsia="Times New Roman" w:hAnsi="Arial" w:cs="Arial"/>
            <w:color w:val="00B3AC"/>
            <w:sz w:val="27"/>
            <w:szCs w:val="27"/>
            <w:u w:val="single"/>
            <w:lang w:eastAsia="es-MX"/>
          </w:rPr>
          <w:t>computación en la nube</w:t>
        </w:r>
      </w:hyperlink>
      <w:r w:rsidRPr="002F3C2C">
        <w:rPr>
          <w:rFonts w:ascii="Arial" w:eastAsia="Times New Roman" w:hAnsi="Arial" w:cs="Arial"/>
          <w:color w:val="6C6C6C"/>
          <w:sz w:val="27"/>
          <w:szCs w:val="27"/>
          <w:lang w:eastAsia="es-MX"/>
        </w:rPr>
        <w:t>, en la que un proveedor de servicios pone a disposición del público en general recursos, como aplicaciones y almacenamiento, a través de internet. Los servicios de nube pública pueden ser gratuitos u ofrecidos en un modelo de pago por uso.</w:t>
      </w:r>
    </w:p>
    <w:p w:rsidR="002F3C2C" w:rsidRPr="002F3C2C" w:rsidRDefault="002F3C2C" w:rsidP="002F3C2C">
      <w:pPr>
        <w:shd w:val="clear" w:color="auto" w:fill="FFFFFF"/>
        <w:spacing w:before="360" w:after="360" w:line="401" w:lineRule="atLeast"/>
        <w:rPr>
          <w:rFonts w:ascii="Arial" w:eastAsia="Times New Roman" w:hAnsi="Arial" w:cs="Arial"/>
          <w:color w:val="6C6C6C"/>
          <w:sz w:val="27"/>
          <w:szCs w:val="27"/>
          <w:lang w:eastAsia="es-MX"/>
        </w:rPr>
      </w:pPr>
      <w:r w:rsidRPr="002F3C2C">
        <w:rPr>
          <w:rFonts w:ascii="Arial" w:eastAsia="Times New Roman" w:hAnsi="Arial" w:cs="Arial"/>
          <w:color w:val="6C6C6C"/>
          <w:sz w:val="27"/>
          <w:szCs w:val="27"/>
          <w:lang w:eastAsia="es-MX"/>
        </w:rPr>
        <w:t>Los principales beneficios del uso de un servicio de nube pública son:</w:t>
      </w:r>
    </w:p>
    <w:p w:rsidR="002F3C2C" w:rsidRPr="002F3C2C" w:rsidRDefault="002F3C2C" w:rsidP="002F3C2C">
      <w:pPr>
        <w:numPr>
          <w:ilvl w:val="0"/>
          <w:numId w:val="2"/>
        </w:numPr>
        <w:shd w:val="clear" w:color="auto" w:fill="FFFFFF"/>
        <w:spacing w:before="150" w:after="150" w:line="401" w:lineRule="atLeast"/>
        <w:ind w:left="375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2F3C2C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Configuración fácil y económica, porque el proveedor cubre los costos de hardware, aplicaciones y ancho de banda.</w:t>
      </w:r>
    </w:p>
    <w:p w:rsidR="002F3C2C" w:rsidRPr="002F3C2C" w:rsidRDefault="002F3C2C" w:rsidP="002F3C2C">
      <w:pPr>
        <w:numPr>
          <w:ilvl w:val="0"/>
          <w:numId w:val="2"/>
        </w:numPr>
        <w:shd w:val="clear" w:color="auto" w:fill="FFFFFF"/>
        <w:spacing w:before="150" w:after="150" w:line="401" w:lineRule="atLeast"/>
        <w:ind w:left="375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2F3C2C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Escalabilidad para satisfacer las necesidades.</w:t>
      </w:r>
    </w:p>
    <w:p w:rsidR="002F3C2C" w:rsidRPr="002F3C2C" w:rsidRDefault="002F3C2C" w:rsidP="002F3C2C">
      <w:pPr>
        <w:numPr>
          <w:ilvl w:val="0"/>
          <w:numId w:val="2"/>
        </w:numPr>
        <w:shd w:val="clear" w:color="auto" w:fill="FFFFFF"/>
        <w:spacing w:before="150" w:after="150" w:line="401" w:lineRule="atLeast"/>
        <w:ind w:left="375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2F3C2C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No desperdicia recursos porque paga por lo que usa.</w:t>
      </w:r>
    </w:p>
    <w:p w:rsidR="002F3C2C" w:rsidRPr="002F3C2C" w:rsidRDefault="002F3C2C" w:rsidP="002F3C2C">
      <w:pPr>
        <w:shd w:val="clear" w:color="auto" w:fill="FFFFFF"/>
        <w:spacing w:before="360" w:after="360" w:line="401" w:lineRule="atLeast"/>
        <w:rPr>
          <w:rFonts w:ascii="Arial" w:eastAsia="Times New Roman" w:hAnsi="Arial" w:cs="Arial"/>
          <w:color w:val="6C6C6C"/>
          <w:sz w:val="27"/>
          <w:szCs w:val="27"/>
          <w:lang w:eastAsia="es-MX"/>
        </w:rPr>
      </w:pPr>
      <w:r w:rsidRPr="002F3C2C">
        <w:rPr>
          <w:rFonts w:ascii="Arial" w:eastAsia="Times New Roman" w:hAnsi="Arial" w:cs="Arial"/>
          <w:color w:val="6C6C6C"/>
          <w:sz w:val="27"/>
          <w:szCs w:val="27"/>
          <w:lang w:eastAsia="es-MX"/>
        </w:rPr>
        <w:t>El término "nube pública" surgió para diferenciar entre el modelo estándar y la </w:t>
      </w:r>
      <w:hyperlink r:id="rId6" w:history="1">
        <w:r w:rsidRPr="002F3C2C">
          <w:rPr>
            <w:rFonts w:ascii="Arial" w:eastAsia="Times New Roman" w:hAnsi="Arial" w:cs="Arial"/>
            <w:color w:val="00B3AC"/>
            <w:sz w:val="27"/>
            <w:szCs w:val="27"/>
            <w:u w:val="single"/>
            <w:lang w:eastAsia="es-MX"/>
          </w:rPr>
          <w:t>nube privada</w:t>
        </w:r>
      </w:hyperlink>
      <w:r w:rsidRPr="002F3C2C">
        <w:rPr>
          <w:rFonts w:ascii="Arial" w:eastAsia="Times New Roman" w:hAnsi="Arial" w:cs="Arial"/>
          <w:color w:val="6C6C6C"/>
          <w:sz w:val="27"/>
          <w:szCs w:val="27"/>
          <w:lang w:eastAsia="es-MX"/>
        </w:rPr>
        <w:t>, que es una red o centro de datos propietario que utiliza tecnologías de computación de nube, como la virtualización. Una nube privada es administrada por la organización a la que sirve. Un tercer modelo, la nube híbrida, es mantenido por proveedores tanto internos como externos.</w:t>
      </w:r>
    </w:p>
    <w:p w:rsidR="002F3C2C" w:rsidRPr="002F3C2C" w:rsidRDefault="002F3C2C" w:rsidP="002F3C2C">
      <w:pPr>
        <w:shd w:val="clear" w:color="auto" w:fill="FFFFFF"/>
        <w:spacing w:before="360" w:after="360" w:line="401" w:lineRule="atLeast"/>
        <w:rPr>
          <w:rFonts w:ascii="Arial" w:eastAsia="Times New Roman" w:hAnsi="Arial" w:cs="Arial"/>
          <w:color w:val="6C6C6C"/>
          <w:sz w:val="27"/>
          <w:szCs w:val="27"/>
          <w:lang w:eastAsia="es-MX"/>
        </w:rPr>
      </w:pPr>
      <w:r w:rsidRPr="002F3C2C">
        <w:rPr>
          <w:rFonts w:ascii="Arial" w:eastAsia="Times New Roman" w:hAnsi="Arial" w:cs="Arial"/>
          <w:color w:val="6C6C6C"/>
          <w:sz w:val="27"/>
          <w:szCs w:val="27"/>
          <w:lang w:eastAsia="es-MX"/>
        </w:rPr>
        <w:t>Ejemplos de nubes públicas incluyen Amazon Elastic Compute Cloud (EC2), Blue Cloud de IBM, Sun</w:t>
      </w:r>
      <w:bookmarkStart w:id="0" w:name="_GoBack"/>
      <w:bookmarkEnd w:id="0"/>
      <w:r w:rsidRPr="002F3C2C">
        <w:rPr>
          <w:rFonts w:ascii="Arial" w:eastAsia="Times New Roman" w:hAnsi="Arial" w:cs="Arial"/>
          <w:color w:val="6C6C6C"/>
          <w:sz w:val="27"/>
          <w:szCs w:val="27"/>
          <w:lang w:eastAsia="es-MX"/>
        </w:rPr>
        <w:t xml:space="preserve"> Cloud, Google AppEngine y Windows Azure Services Platform.</w:t>
      </w:r>
    </w:p>
    <w:p w:rsidR="002B36E9" w:rsidRDefault="002B36E9"/>
    <w:sectPr w:rsidR="002B3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9711D"/>
    <w:multiLevelType w:val="multilevel"/>
    <w:tmpl w:val="8972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703EB1"/>
    <w:multiLevelType w:val="multilevel"/>
    <w:tmpl w:val="84F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2C"/>
    <w:rsid w:val="002B36E9"/>
    <w:rsid w:val="002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E3B3B-7434-4C18-8905-0F026022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82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61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8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datacenter.techtarget.com/es/definicion/Nube-privada-nube-interna-o-nube-corporativa" TargetMode="External"/><Relationship Id="rId5" Type="http://schemas.openxmlformats.org/officeDocument/2006/relationships/hyperlink" Target="https://searchdatacenter.techtarget.com/es/definicion/Computacion-en-la-nu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2019-02-21T14:53:00Z</dcterms:created>
  <dcterms:modified xsi:type="dcterms:W3CDTF">2019-02-21T14:54:00Z</dcterms:modified>
</cp:coreProperties>
</file>