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D2" w:rsidRPr="00D51CD2" w:rsidRDefault="00D51CD2" w:rsidP="00D51CD2">
      <w:pPr>
        <w:spacing w:after="0" w:line="264" w:lineRule="atLeast"/>
        <w:outlineLvl w:val="0"/>
        <w:rPr>
          <w:rFonts w:ascii="Arial" w:eastAsia="Times New Roman" w:hAnsi="Arial" w:cs="Arial"/>
          <w:b/>
          <w:bCs/>
          <w:color w:val="323232"/>
          <w:spacing w:val="-5"/>
          <w:kern w:val="36"/>
          <w:sz w:val="60"/>
          <w:szCs w:val="60"/>
          <w:lang w:eastAsia="es-MX"/>
        </w:rPr>
      </w:pPr>
      <w:r w:rsidRPr="00D51CD2">
        <w:rPr>
          <w:rFonts w:ascii="Arial" w:eastAsia="Times New Roman" w:hAnsi="Arial" w:cs="Arial"/>
          <w:b/>
          <w:bCs/>
          <w:color w:val="323232"/>
          <w:spacing w:val="-5"/>
          <w:kern w:val="36"/>
          <w:sz w:val="60"/>
          <w:szCs w:val="60"/>
          <w:lang w:eastAsia="es-MX"/>
        </w:rPr>
        <w:br/>
        <w:t>Nube híbrida</w:t>
      </w:r>
    </w:p>
    <w:p w:rsidR="00D51CD2" w:rsidRPr="00D51CD2" w:rsidRDefault="00D51CD2" w:rsidP="00D51CD2">
      <w:pPr>
        <w:shd w:val="clear" w:color="auto" w:fill="FFFFFF"/>
        <w:spacing w:after="360" w:line="401" w:lineRule="atLeast"/>
        <w:rPr>
          <w:rFonts w:ascii="Arial" w:eastAsia="Times New Roman" w:hAnsi="Arial" w:cs="Arial"/>
          <w:color w:val="6C6C6C"/>
          <w:sz w:val="27"/>
          <w:szCs w:val="27"/>
          <w:lang w:eastAsia="es-MX"/>
        </w:rPr>
      </w:pPr>
      <w:r w:rsidRPr="00D51CD2">
        <w:rPr>
          <w:rFonts w:ascii="Arial" w:eastAsia="Times New Roman" w:hAnsi="Arial" w:cs="Arial"/>
          <w:color w:val="6C6C6C"/>
          <w:sz w:val="27"/>
          <w:szCs w:val="27"/>
          <w:lang w:eastAsia="es-MX"/>
        </w:rPr>
        <w:t>La nube híbrida es un entorno de </w:t>
      </w:r>
      <w:hyperlink r:id="rId5" w:history="1">
        <w:r w:rsidRPr="00D51CD2">
          <w:rPr>
            <w:rFonts w:ascii="Arial" w:eastAsia="Times New Roman" w:hAnsi="Arial" w:cs="Arial"/>
            <w:color w:val="00B3AC"/>
            <w:sz w:val="27"/>
            <w:szCs w:val="27"/>
            <w:u w:val="single"/>
            <w:lang w:eastAsia="es-MX"/>
          </w:rPr>
          <w:t>computación en nube</w:t>
        </w:r>
      </w:hyperlink>
      <w:r w:rsidRPr="00D51CD2">
        <w:rPr>
          <w:rFonts w:ascii="Arial" w:eastAsia="Times New Roman" w:hAnsi="Arial" w:cs="Arial"/>
          <w:color w:val="6C6C6C"/>
          <w:sz w:val="27"/>
          <w:szCs w:val="27"/>
          <w:lang w:eastAsia="es-MX"/>
        </w:rPr>
        <w:t> que utiliza una combinación de servicios de </w:t>
      </w:r>
      <w:hyperlink r:id="rId6" w:history="1">
        <w:r w:rsidRPr="00D51CD2">
          <w:rPr>
            <w:rFonts w:ascii="Arial" w:eastAsia="Times New Roman" w:hAnsi="Arial" w:cs="Arial"/>
            <w:color w:val="00B3AC"/>
            <w:sz w:val="27"/>
            <w:szCs w:val="27"/>
            <w:u w:val="single"/>
            <w:lang w:eastAsia="es-MX"/>
          </w:rPr>
          <w:t>nube pública</w:t>
        </w:r>
      </w:hyperlink>
      <w:r w:rsidRPr="00D51CD2">
        <w:rPr>
          <w:rFonts w:ascii="Arial" w:eastAsia="Times New Roman" w:hAnsi="Arial" w:cs="Arial"/>
          <w:color w:val="6C6C6C"/>
          <w:sz w:val="27"/>
          <w:szCs w:val="27"/>
          <w:lang w:eastAsia="es-MX"/>
        </w:rPr>
        <w:t> de terceros y de </w:t>
      </w:r>
      <w:hyperlink r:id="rId7" w:history="1">
        <w:r w:rsidRPr="00D51CD2">
          <w:rPr>
            <w:rFonts w:ascii="Arial" w:eastAsia="Times New Roman" w:hAnsi="Arial" w:cs="Arial"/>
            <w:color w:val="00B3AC"/>
            <w:sz w:val="27"/>
            <w:szCs w:val="27"/>
            <w:u w:val="single"/>
            <w:lang w:eastAsia="es-MX"/>
          </w:rPr>
          <w:t>nube privada</w:t>
        </w:r>
      </w:hyperlink>
      <w:r w:rsidRPr="00D51CD2">
        <w:rPr>
          <w:rFonts w:ascii="Arial" w:eastAsia="Times New Roman" w:hAnsi="Arial" w:cs="Arial"/>
          <w:color w:val="6C6C6C"/>
          <w:sz w:val="27"/>
          <w:szCs w:val="27"/>
          <w:lang w:eastAsia="es-MX"/>
        </w:rPr>
        <w:t xml:space="preserve">, con orquestación entre ambas plataformas. Al permitir que las cargas de trabajo se muevan entre nubes privadas y públicas, a medida que </w:t>
      </w:r>
      <w:proofErr w:type="gramStart"/>
      <w:r w:rsidRPr="00D51CD2">
        <w:rPr>
          <w:rFonts w:ascii="Arial" w:eastAsia="Times New Roman" w:hAnsi="Arial" w:cs="Arial"/>
          <w:color w:val="6C6C6C"/>
          <w:sz w:val="27"/>
          <w:szCs w:val="27"/>
          <w:lang w:eastAsia="es-MX"/>
        </w:rPr>
        <w:t>cambian</w:t>
      </w:r>
      <w:proofErr w:type="gramEnd"/>
      <w:r w:rsidRPr="00D51CD2">
        <w:rPr>
          <w:rFonts w:ascii="Arial" w:eastAsia="Times New Roman" w:hAnsi="Arial" w:cs="Arial"/>
          <w:color w:val="6C6C6C"/>
          <w:sz w:val="27"/>
          <w:szCs w:val="27"/>
          <w:lang w:eastAsia="es-MX"/>
        </w:rPr>
        <w:t xml:space="preserve"> las necesidades y los costos de la computación, la nube híbrida ofrece a las empresas mayor flexibilidad y más opciones de implementación de datos.</w:t>
      </w:r>
    </w:p>
    <w:p w:rsidR="00D51CD2" w:rsidRPr="00D51CD2" w:rsidRDefault="00D51CD2" w:rsidP="00D51CD2">
      <w:pPr>
        <w:shd w:val="clear" w:color="auto" w:fill="FFFFFF"/>
        <w:spacing w:before="360" w:after="360" w:line="401" w:lineRule="atLeast"/>
        <w:rPr>
          <w:rFonts w:ascii="Arial" w:eastAsia="Times New Roman" w:hAnsi="Arial" w:cs="Arial"/>
          <w:color w:val="6C6C6C"/>
          <w:sz w:val="27"/>
          <w:szCs w:val="27"/>
          <w:lang w:eastAsia="es-MX"/>
        </w:rPr>
      </w:pPr>
      <w:r w:rsidRPr="00D51CD2">
        <w:rPr>
          <w:rFonts w:ascii="Arial" w:eastAsia="Times New Roman" w:hAnsi="Arial" w:cs="Arial"/>
          <w:color w:val="6C6C6C"/>
          <w:sz w:val="27"/>
          <w:szCs w:val="27"/>
          <w:lang w:eastAsia="es-MX"/>
        </w:rPr>
        <w:t xml:space="preserve">Por ejemplo, una empresa puede implementar una nube privada local para alojar cargas de trabajo sensibles o críticas, pero utilizar un proveedor de nube pública de terceros, como Google Compute Engine, para alojar recursos menos críticos, como cargas de trabajo de prueba y </w:t>
      </w:r>
      <w:bookmarkStart w:id="0" w:name="_GoBack"/>
      <w:bookmarkEnd w:id="0"/>
      <w:r w:rsidRPr="00D51CD2">
        <w:rPr>
          <w:rFonts w:ascii="Arial" w:eastAsia="Times New Roman" w:hAnsi="Arial" w:cs="Arial"/>
          <w:color w:val="6C6C6C"/>
          <w:sz w:val="27"/>
          <w:szCs w:val="27"/>
          <w:lang w:eastAsia="es-MX"/>
        </w:rPr>
        <w:t>desarrollo. Para almacenar datos archivados y de copia de seguridad orientados al cliente, una nube híbrida también podría utilizar Amazon Simple Storage Service (Amazon S3). Una capa de software, como Eucalyptus, puede facilitar las conexiones de nubes privadas a nubes públicas, como Amazon Web Services (AWS).</w:t>
      </w:r>
    </w:p>
    <w:p w:rsidR="00D51CD2" w:rsidRPr="00D51CD2" w:rsidRDefault="00D51CD2" w:rsidP="00D51CD2">
      <w:pPr>
        <w:shd w:val="clear" w:color="auto" w:fill="FFFFFF"/>
        <w:spacing w:before="360" w:after="360" w:line="401" w:lineRule="atLeast"/>
        <w:rPr>
          <w:rFonts w:ascii="Arial" w:eastAsia="Times New Roman" w:hAnsi="Arial" w:cs="Arial"/>
          <w:color w:val="6C6C6C"/>
          <w:sz w:val="27"/>
          <w:szCs w:val="27"/>
          <w:lang w:eastAsia="es-MX"/>
        </w:rPr>
      </w:pPr>
      <w:r w:rsidRPr="00D51CD2">
        <w:rPr>
          <w:rFonts w:ascii="Arial" w:eastAsia="Times New Roman" w:hAnsi="Arial" w:cs="Arial"/>
          <w:color w:val="6C6C6C"/>
          <w:sz w:val="27"/>
          <w:szCs w:val="27"/>
          <w:lang w:eastAsia="es-MX"/>
        </w:rPr>
        <w:t>La nube híbrida es especialmente valiosa para cargas de trabajo dinámicas o altamente cambiantes. Por ejemplo, un sistema de entrada de órdenes transaccionales que experimenta picos significativos de demanda en torno a la temporada de vacaciones es un buen candidato a la nube híbrida. La aplicación podría ejecutarse en la nube privada, pero utilizar la explosión de la nube para acceder a los recursos informáticos adicionales de una nube pública cuando la computación demanda pico. Para conectar recursos de nube públicos y privados, este modelo requiere un entorno de nube híbrido.</w:t>
      </w:r>
    </w:p>
    <w:p w:rsidR="00355CA8" w:rsidRDefault="00355CA8"/>
    <w:sectPr w:rsidR="00355C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4B4FAF"/>
    <w:multiLevelType w:val="multilevel"/>
    <w:tmpl w:val="769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D2"/>
    <w:rsid w:val="00355CA8"/>
    <w:rsid w:val="00D51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6E501-3204-4752-84BE-CE067ACD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7676">
      <w:bodyDiv w:val="1"/>
      <w:marLeft w:val="0"/>
      <w:marRight w:val="0"/>
      <w:marTop w:val="0"/>
      <w:marBottom w:val="0"/>
      <w:divBdr>
        <w:top w:val="none" w:sz="0" w:space="0" w:color="auto"/>
        <w:left w:val="none" w:sz="0" w:space="0" w:color="auto"/>
        <w:bottom w:val="none" w:sz="0" w:space="0" w:color="auto"/>
        <w:right w:val="none" w:sz="0" w:space="0" w:color="auto"/>
      </w:divBdr>
      <w:divsChild>
        <w:div w:id="154537761">
          <w:marLeft w:val="0"/>
          <w:marRight w:val="0"/>
          <w:marTop w:val="0"/>
          <w:marBottom w:val="375"/>
          <w:divBdr>
            <w:top w:val="none" w:sz="0" w:space="0" w:color="auto"/>
            <w:left w:val="none" w:sz="0" w:space="0" w:color="auto"/>
            <w:bottom w:val="none" w:sz="0" w:space="0" w:color="auto"/>
            <w:right w:val="none" w:sz="0" w:space="0" w:color="auto"/>
          </w:divBdr>
          <w:divsChild>
            <w:div w:id="1471944493">
              <w:marLeft w:val="0"/>
              <w:marRight w:val="0"/>
              <w:marTop w:val="0"/>
              <w:marBottom w:val="0"/>
              <w:divBdr>
                <w:top w:val="none" w:sz="0" w:space="0" w:color="auto"/>
                <w:left w:val="none" w:sz="0" w:space="0" w:color="auto"/>
                <w:bottom w:val="none" w:sz="0" w:space="0" w:color="auto"/>
                <w:right w:val="none" w:sz="0" w:space="0" w:color="auto"/>
              </w:divBdr>
              <w:divsChild>
                <w:div w:id="618294437">
                  <w:marLeft w:val="0"/>
                  <w:marRight w:val="225"/>
                  <w:marTop w:val="0"/>
                  <w:marBottom w:val="0"/>
                  <w:divBdr>
                    <w:top w:val="none" w:sz="0" w:space="0" w:color="auto"/>
                    <w:left w:val="none" w:sz="0" w:space="0" w:color="auto"/>
                    <w:bottom w:val="none" w:sz="0" w:space="0" w:color="auto"/>
                    <w:right w:val="none" w:sz="0" w:space="0" w:color="auto"/>
                  </w:divBdr>
                </w:div>
                <w:div w:id="793521645">
                  <w:marLeft w:val="0"/>
                  <w:marRight w:val="0"/>
                  <w:marTop w:val="0"/>
                  <w:marBottom w:val="0"/>
                  <w:divBdr>
                    <w:top w:val="none" w:sz="0" w:space="0" w:color="auto"/>
                    <w:left w:val="none" w:sz="0" w:space="0" w:color="auto"/>
                    <w:bottom w:val="none" w:sz="0" w:space="0" w:color="auto"/>
                    <w:right w:val="none" w:sz="0" w:space="0" w:color="auto"/>
                  </w:divBdr>
                  <w:divsChild>
                    <w:div w:id="503908571">
                      <w:marLeft w:val="0"/>
                      <w:marRight w:val="0"/>
                      <w:marTop w:val="0"/>
                      <w:marBottom w:val="0"/>
                      <w:divBdr>
                        <w:top w:val="none" w:sz="0" w:space="0" w:color="auto"/>
                        <w:left w:val="none" w:sz="0" w:space="0" w:color="auto"/>
                        <w:bottom w:val="none" w:sz="0" w:space="0" w:color="auto"/>
                        <w:right w:val="none" w:sz="0" w:space="0" w:color="auto"/>
                      </w:divBdr>
                    </w:div>
                    <w:div w:id="886138004">
                      <w:marLeft w:val="0"/>
                      <w:marRight w:val="0"/>
                      <w:marTop w:val="0"/>
                      <w:marBottom w:val="0"/>
                      <w:divBdr>
                        <w:top w:val="none" w:sz="0" w:space="0" w:color="auto"/>
                        <w:left w:val="none" w:sz="0" w:space="0" w:color="auto"/>
                        <w:bottom w:val="none" w:sz="0" w:space="0" w:color="auto"/>
                        <w:right w:val="none" w:sz="0" w:space="0" w:color="auto"/>
                      </w:divBdr>
                    </w:div>
                  </w:divsChild>
                </w:div>
                <w:div w:id="49963487">
                  <w:marLeft w:val="0"/>
                  <w:marRight w:val="0"/>
                  <w:marTop w:val="75"/>
                  <w:marBottom w:val="0"/>
                  <w:divBdr>
                    <w:top w:val="none" w:sz="0" w:space="0" w:color="auto"/>
                    <w:left w:val="none" w:sz="0" w:space="0" w:color="auto"/>
                    <w:bottom w:val="none" w:sz="0" w:space="0" w:color="auto"/>
                    <w:right w:val="none" w:sz="0" w:space="0" w:color="auto"/>
                  </w:divBdr>
                </w:div>
              </w:divsChild>
            </w:div>
            <w:div w:id="546842964">
              <w:marLeft w:val="0"/>
              <w:marRight w:val="0"/>
              <w:marTop w:val="0"/>
              <w:marBottom w:val="0"/>
              <w:divBdr>
                <w:top w:val="none" w:sz="0" w:space="0" w:color="auto"/>
                <w:left w:val="none" w:sz="0" w:space="0" w:color="auto"/>
                <w:bottom w:val="none" w:sz="0" w:space="0" w:color="auto"/>
                <w:right w:val="none" w:sz="0" w:space="0" w:color="auto"/>
              </w:divBdr>
            </w:div>
          </w:divsChild>
        </w:div>
        <w:div w:id="1685470385">
          <w:marLeft w:val="0"/>
          <w:marRight w:val="0"/>
          <w:marTop w:val="0"/>
          <w:marBottom w:val="0"/>
          <w:divBdr>
            <w:top w:val="none" w:sz="0" w:space="0" w:color="auto"/>
            <w:left w:val="none" w:sz="0" w:space="0" w:color="auto"/>
            <w:bottom w:val="none" w:sz="0" w:space="0" w:color="auto"/>
            <w:right w:val="none" w:sz="0" w:space="0" w:color="auto"/>
          </w:divBdr>
          <w:divsChild>
            <w:div w:id="1453013088">
              <w:marLeft w:val="0"/>
              <w:marRight w:val="0"/>
              <w:marTop w:val="0"/>
              <w:marBottom w:val="0"/>
              <w:divBdr>
                <w:top w:val="none" w:sz="0" w:space="0" w:color="auto"/>
                <w:left w:val="none" w:sz="0" w:space="0" w:color="auto"/>
                <w:bottom w:val="none" w:sz="0" w:space="0" w:color="auto"/>
                <w:right w:val="none" w:sz="0" w:space="0" w:color="auto"/>
              </w:divBdr>
            </w:div>
          </w:divsChild>
        </w:div>
        <w:div w:id="2027444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datacenter.techtarget.com/es/definicion/Nube-privada-nube-interna-o-nube-corporati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datacenter.techtarget.com/es/definicion/Nube-publica" TargetMode="External"/><Relationship Id="rId5" Type="http://schemas.openxmlformats.org/officeDocument/2006/relationships/hyperlink" Target="https://searchdatacenter.techtarget.com/es/definicion/Computacion-en-la-nu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2019-02-21T14:57:00Z</dcterms:created>
  <dcterms:modified xsi:type="dcterms:W3CDTF">2019-02-21T14:58:00Z</dcterms:modified>
</cp:coreProperties>
</file>