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E3" w:rsidRPr="009734E3" w:rsidRDefault="009734E3" w:rsidP="009734E3">
      <w:pPr>
        <w:shd w:val="clear" w:color="auto" w:fill="FFFFFF"/>
        <w:spacing w:after="360" w:line="401" w:lineRule="atLeast"/>
        <w:jc w:val="both"/>
        <w:rPr>
          <w:rFonts w:ascii="Arial" w:eastAsia="Times New Roman" w:hAnsi="Arial" w:cs="Arial"/>
          <w:color w:val="6C6C6C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Una nube pública es una basada en el modelo estándar de la </w:t>
      </w:r>
      <w:hyperlink r:id="rId5" w:history="1">
        <w:r w:rsidRPr="009734E3">
          <w:rPr>
            <w:rFonts w:ascii="Arial" w:eastAsia="Times New Roman" w:hAnsi="Arial" w:cs="Arial"/>
            <w:color w:val="00B3AC"/>
            <w:sz w:val="28"/>
            <w:szCs w:val="28"/>
            <w:u w:val="single"/>
            <w:lang w:eastAsia="es-MX"/>
          </w:rPr>
          <w:t>computación en la nube</w:t>
        </w:r>
      </w:hyperlink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p w:rsidR="009734E3" w:rsidRPr="009734E3" w:rsidRDefault="009734E3" w:rsidP="009734E3">
      <w:pPr>
        <w:shd w:val="clear" w:color="auto" w:fill="FFFFFF"/>
        <w:spacing w:before="360" w:after="360" w:line="401" w:lineRule="atLeast"/>
        <w:jc w:val="both"/>
        <w:rPr>
          <w:rFonts w:ascii="Arial" w:eastAsia="Times New Roman" w:hAnsi="Arial" w:cs="Arial"/>
          <w:color w:val="6C6C6C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Los principales beneficios del uso de un servicio de nube pública son:</w:t>
      </w:r>
    </w:p>
    <w:p w:rsidR="009734E3" w:rsidRPr="009734E3" w:rsidRDefault="009734E3" w:rsidP="009734E3">
      <w:pPr>
        <w:numPr>
          <w:ilvl w:val="0"/>
          <w:numId w:val="1"/>
        </w:numPr>
        <w:shd w:val="clear" w:color="auto" w:fill="FFFFFF"/>
        <w:spacing w:before="150" w:after="150" w:line="401" w:lineRule="atLeast"/>
        <w:ind w:left="375"/>
        <w:jc w:val="both"/>
        <w:rPr>
          <w:rFonts w:ascii="Arial" w:eastAsia="Times New Roman" w:hAnsi="Arial" w:cs="Arial"/>
          <w:color w:val="666666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66666"/>
          <w:sz w:val="28"/>
          <w:szCs w:val="28"/>
          <w:lang w:eastAsia="es-MX"/>
        </w:rPr>
        <w:t>Configuración fácil y económica, porque el proveedor cubre los costos de hardware, aplicaciones y ancho de banda.</w:t>
      </w:r>
    </w:p>
    <w:p w:rsidR="009734E3" w:rsidRPr="009734E3" w:rsidRDefault="009734E3" w:rsidP="009734E3">
      <w:pPr>
        <w:numPr>
          <w:ilvl w:val="0"/>
          <w:numId w:val="1"/>
        </w:numPr>
        <w:shd w:val="clear" w:color="auto" w:fill="FFFFFF"/>
        <w:spacing w:before="150" w:after="150" w:line="401" w:lineRule="atLeast"/>
        <w:ind w:left="375"/>
        <w:jc w:val="both"/>
        <w:rPr>
          <w:rFonts w:ascii="Arial" w:eastAsia="Times New Roman" w:hAnsi="Arial" w:cs="Arial"/>
          <w:color w:val="666666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66666"/>
          <w:sz w:val="28"/>
          <w:szCs w:val="28"/>
          <w:lang w:eastAsia="es-MX"/>
        </w:rPr>
        <w:t>Escalabilidad para satisfacer las necesidades.</w:t>
      </w:r>
    </w:p>
    <w:p w:rsidR="009734E3" w:rsidRPr="009734E3" w:rsidRDefault="009734E3" w:rsidP="009734E3">
      <w:pPr>
        <w:numPr>
          <w:ilvl w:val="0"/>
          <w:numId w:val="1"/>
        </w:numPr>
        <w:shd w:val="clear" w:color="auto" w:fill="FFFFFF"/>
        <w:spacing w:before="150" w:after="150" w:line="401" w:lineRule="atLeast"/>
        <w:ind w:left="375"/>
        <w:jc w:val="both"/>
        <w:rPr>
          <w:rFonts w:ascii="Arial" w:eastAsia="Times New Roman" w:hAnsi="Arial" w:cs="Arial"/>
          <w:color w:val="666666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66666"/>
          <w:sz w:val="28"/>
          <w:szCs w:val="28"/>
          <w:lang w:eastAsia="es-MX"/>
        </w:rPr>
        <w:t>No desperdicia recursos porque paga por lo que usa.</w:t>
      </w:r>
    </w:p>
    <w:p w:rsidR="009734E3" w:rsidRPr="009734E3" w:rsidRDefault="009734E3" w:rsidP="009734E3">
      <w:pPr>
        <w:shd w:val="clear" w:color="auto" w:fill="FFFFFF"/>
        <w:spacing w:before="360" w:after="360" w:line="401" w:lineRule="atLeast"/>
        <w:jc w:val="both"/>
        <w:rPr>
          <w:rFonts w:ascii="Arial" w:eastAsia="Times New Roman" w:hAnsi="Arial" w:cs="Arial"/>
          <w:color w:val="6C6C6C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El término "nube pública" surgió para diferenciar entre el modelo estándar y la </w:t>
      </w:r>
      <w:hyperlink r:id="rId6" w:history="1">
        <w:r w:rsidRPr="009734E3">
          <w:rPr>
            <w:rFonts w:ascii="Arial" w:eastAsia="Times New Roman" w:hAnsi="Arial" w:cs="Arial"/>
            <w:color w:val="00B3AC"/>
            <w:sz w:val="28"/>
            <w:szCs w:val="28"/>
            <w:u w:val="single"/>
            <w:lang w:eastAsia="es-MX"/>
          </w:rPr>
          <w:t>nube privada</w:t>
        </w:r>
      </w:hyperlink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, que es una red o centro de datos propietario que utiliza tecnologías de computación de nube, como la virtualización. Una nube privada es administrada por la organización a la que sirve. Un tercer modelo, la nube híbrida, es mantenido por proveedores tanto internos como externos.</w:t>
      </w:r>
      <w:bookmarkStart w:id="0" w:name="_GoBack"/>
      <w:bookmarkEnd w:id="0"/>
    </w:p>
    <w:p w:rsidR="009734E3" w:rsidRPr="009734E3" w:rsidRDefault="009734E3" w:rsidP="009734E3">
      <w:pPr>
        <w:shd w:val="clear" w:color="auto" w:fill="FFFFFF"/>
        <w:spacing w:before="360" w:after="360" w:line="401" w:lineRule="atLeast"/>
        <w:jc w:val="both"/>
        <w:rPr>
          <w:rFonts w:ascii="Arial" w:eastAsia="Times New Roman" w:hAnsi="Arial" w:cs="Arial"/>
          <w:color w:val="6C6C6C"/>
          <w:sz w:val="28"/>
          <w:szCs w:val="28"/>
          <w:lang w:eastAsia="es-MX"/>
        </w:rPr>
      </w:pPr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Ejemplos de nubes públicas incluyen Amazon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Elastic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 Compute Cloud (EC2), Blue Cloud de IBM,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Sun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 Cloud, Google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AppEngine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 y Windows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Azure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Services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 xml:space="preserve"> </w:t>
      </w:r>
      <w:proofErr w:type="spellStart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Platform</w:t>
      </w:r>
      <w:proofErr w:type="spellEnd"/>
      <w:r w:rsidRPr="009734E3">
        <w:rPr>
          <w:rFonts w:ascii="Arial" w:eastAsia="Times New Roman" w:hAnsi="Arial" w:cs="Arial"/>
          <w:color w:val="6C6C6C"/>
          <w:sz w:val="28"/>
          <w:szCs w:val="28"/>
          <w:lang w:eastAsia="es-MX"/>
        </w:rPr>
        <w:t>.</w:t>
      </w:r>
    </w:p>
    <w:p w:rsidR="000A7E15" w:rsidRDefault="000A7E15"/>
    <w:sectPr w:rsidR="000A7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3096D"/>
    <w:multiLevelType w:val="multilevel"/>
    <w:tmpl w:val="B2D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E3"/>
    <w:rsid w:val="000A7E15"/>
    <w:rsid w:val="009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A146-94C5-4EBA-9696-9B7E39D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datacenter.techtarget.com/es/definicion/Nube-privada-nube-interna-o-nube-corporativa" TargetMode="External"/><Relationship Id="rId5" Type="http://schemas.openxmlformats.org/officeDocument/2006/relationships/hyperlink" Target="https://searchdatacenter.techtarget.com/es/definicion/Computacion-en-la-n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2019-02-21T14:13:00Z</dcterms:created>
  <dcterms:modified xsi:type="dcterms:W3CDTF">2019-02-21T14:14:00Z</dcterms:modified>
</cp:coreProperties>
</file>