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886A2A2" w14:textId="77777777" w:rsidR="003B5763" w:rsidRDefault="00E753A8" w:rsidP="003B5763">
      <w:pPr>
        <w:pStyle w:val="En-tte"/>
      </w:pPr>
      <w:r>
        <w:rPr>
          <w:noProof/>
          <w:lang w:val="fr-FR" w:eastAsia="fr-FR"/>
        </w:rPr>
        <w:drawing>
          <wp:anchor distT="0" distB="0" distL="114300" distR="114300" simplePos="0" relativeHeight="251676672" behindDoc="0" locked="1" layoutInCell="1" allowOverlap="1" wp14:anchorId="734DF7D8" wp14:editId="112A0645">
            <wp:simplePos x="0" y="0"/>
            <wp:positionH relativeFrom="margin">
              <wp:align>left</wp:align>
            </wp:positionH>
            <wp:positionV relativeFrom="page">
              <wp:posOffset>315595</wp:posOffset>
            </wp:positionV>
            <wp:extent cx="2131060" cy="586740"/>
            <wp:effectExtent l="0" t="0" r="254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ds-FR_NOIR-GRIS_5c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1060" cy="586740"/>
                    </a:xfrm>
                    <a:prstGeom prst="rect">
                      <a:avLst/>
                    </a:prstGeom>
                  </pic:spPr>
                </pic:pic>
              </a:graphicData>
            </a:graphic>
            <wp14:sizeRelH relativeFrom="margin">
              <wp14:pctWidth>0</wp14:pctWidth>
            </wp14:sizeRelH>
            <wp14:sizeRelV relativeFrom="margin">
              <wp14:pctHeight>0</wp14:pctHeight>
            </wp14:sizeRelV>
          </wp:anchor>
        </w:drawing>
      </w:r>
      <w:r w:rsidR="00031ABF">
        <w:rPr>
          <w:noProof/>
        </w:rPr>
        <w:pict w14:anchorId="143F2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78pt;margin-top:519.85pt;width:109.5pt;height:56.1pt;z-index:251674624;mso-position-horizontal-relative:page;mso-position-vertical-relative:page;mso-width-relative:page;mso-height-relative:page">
            <v:imagedata r:id="rId14" o:title="HESSO-instit-noir+and_Arts"/>
            <w10:wrap anchorx="page" anchory="page"/>
            <w10:anchorlock/>
          </v:shape>
        </w:pict>
      </w:r>
      <w:r w:rsidR="003B5763">
        <w:rPr>
          <w:noProof/>
          <w:lang w:val="fr-FR" w:eastAsia="fr-FR"/>
        </w:rPr>
        <mc:AlternateContent>
          <mc:Choice Requires="wps">
            <w:drawing>
              <wp:anchor distT="0" distB="0" distL="114300" distR="114300" simplePos="0" relativeHeight="251667456" behindDoc="1" locked="1" layoutInCell="1" allowOverlap="1" wp14:anchorId="56ED8F3D" wp14:editId="729CF771">
                <wp:simplePos x="0" y="0"/>
                <wp:positionH relativeFrom="page">
                  <wp:posOffset>6467475</wp:posOffset>
                </wp:positionH>
                <wp:positionV relativeFrom="page">
                  <wp:posOffset>400050</wp:posOffset>
                </wp:positionV>
                <wp:extent cx="3524250" cy="257175"/>
                <wp:effectExtent l="0" t="0" r="0" b="9525"/>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A28A" w14:textId="77777777" w:rsidR="003B5763" w:rsidRPr="00BD6BDD" w:rsidRDefault="00904E01" w:rsidP="003177B7">
                            <w:pPr>
                              <w:spacing w:before="1"/>
                              <w:jc w:val="right"/>
                              <w:rPr>
                                <w:b/>
                                <w:caps/>
                                <w:color w:val="595959" w:themeColor="text1" w:themeTint="A6"/>
                                <w:sz w:val="18"/>
                                <w:lang w:val="de-CH"/>
                              </w:rPr>
                            </w:pPr>
                            <w:r w:rsidRPr="00BD6BDD">
                              <w:rPr>
                                <w:b/>
                                <w:caps/>
                                <w:color w:val="595959" w:themeColor="text1" w:themeTint="A6"/>
                                <w:sz w:val="18"/>
                                <w:lang w:val="de-CH"/>
                              </w:rPr>
                              <w:t>BACHELOR EN SOINS INFIRMIERS / BACHELOR IN PFLEGE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6ED8F3D" id="_x0000_t202" coordsize="21600,21600" o:spt="202" path="m,l,21600r21600,l21600,xe">
                <v:stroke joinstyle="miter"/>
                <v:path gradientshapeok="t" o:connecttype="rect"/>
              </v:shapetype>
              <v:shape id="Text Box 90" o:spid="_x0000_s1026" type="#_x0000_t202" style="position:absolute;left:0;text-align:left;margin-left:509.25pt;margin-top:31.5pt;width:277.5pt;height:20.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H9rgIAAKs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" filled="f" stroked="f">
                <v:textbox inset="0,0,0,0">
                  <w:txbxContent>
                    <w:p w14:paraId="6B7EA28A" w14:textId="77777777" w:rsidR="003B5763" w:rsidRPr="00BD6BDD" w:rsidRDefault="00904E01" w:rsidP="003177B7">
                      <w:pPr>
                        <w:spacing w:before="1"/>
                        <w:jc w:val="right"/>
                        <w:rPr>
                          <w:b/>
                          <w:caps/>
                          <w:color w:val="595959" w:themeColor="text1" w:themeTint="A6"/>
                          <w:sz w:val="18"/>
                          <w:lang w:val="de-CH"/>
                        </w:rPr>
                      </w:pPr>
                      <w:r w:rsidRPr="00BD6BDD">
                        <w:rPr>
                          <w:b/>
                          <w:caps/>
                          <w:color w:val="595959" w:themeColor="text1" w:themeTint="A6"/>
                          <w:sz w:val="18"/>
                          <w:lang w:val="de-CH"/>
                        </w:rPr>
                        <w:t>BACHELOR EN SOINS INFIRMIERS / BACHELOR IN PFLEGE</w:t>
                      </w:r>
                    </w:p>
                  </w:txbxContent>
                </v:textbox>
                <w10:wrap anchorx="page" anchory="page"/>
                <w10:anchorlock/>
              </v:shape>
            </w:pict>
          </mc:Fallback>
        </mc:AlternateContent>
      </w:r>
    </w:p>
    <w:p w14:paraId="4019FD2A" w14:textId="77777777" w:rsidR="00635731" w:rsidRPr="00A20E68" w:rsidRDefault="00635731" w:rsidP="00A25F43">
      <w:pPr>
        <w:tabs>
          <w:tab w:val="right" w:pos="7371"/>
        </w:tabs>
        <w:jc w:val="left"/>
        <w:rPr>
          <w:szCs w:val="20"/>
        </w:rPr>
      </w:pPr>
    </w:p>
    <w:p w14:paraId="401205B5" w14:textId="77777777" w:rsidR="009230D6" w:rsidRPr="00EA7229" w:rsidRDefault="00EA7229" w:rsidP="00EA7229">
      <w:pPr>
        <w:tabs>
          <w:tab w:val="right" w:pos="7371"/>
        </w:tabs>
        <w:jc w:val="center"/>
        <w:rPr>
          <w:b/>
          <w:sz w:val="28"/>
          <w:szCs w:val="28"/>
        </w:rPr>
      </w:pPr>
      <w:r w:rsidRPr="00EA7229">
        <w:rPr>
          <w:b/>
          <w:sz w:val="28"/>
          <w:szCs w:val="28"/>
        </w:rPr>
        <w:t>Grille résumée pour l’analyse des revues systématiques</w:t>
      </w:r>
    </w:p>
    <w:p w14:paraId="0E71B53E" w14:textId="77777777" w:rsidR="00EA7229" w:rsidRDefault="00EA7229" w:rsidP="00DA061A">
      <w:pPr>
        <w:tabs>
          <w:tab w:val="right" w:pos="7371"/>
        </w:tabs>
        <w:rPr>
          <w:szCs w:val="20"/>
        </w:rPr>
      </w:pPr>
    </w:p>
    <w:tbl>
      <w:tblPr>
        <w:tblStyle w:val="Grilledutableau"/>
        <w:tblW w:w="0" w:type="auto"/>
        <w:tblLook w:val="04A0" w:firstRow="1" w:lastRow="0" w:firstColumn="1" w:lastColumn="0" w:noHBand="0" w:noVBand="1"/>
      </w:tblPr>
      <w:tblGrid>
        <w:gridCol w:w="3823"/>
        <w:gridCol w:w="10737"/>
      </w:tblGrid>
      <w:tr w:rsidR="00EA7229" w:rsidRPr="00705A35" w14:paraId="646F24CF" w14:textId="77777777" w:rsidTr="00EA7229">
        <w:tc>
          <w:tcPr>
            <w:tcW w:w="3823" w:type="dxa"/>
          </w:tcPr>
          <w:p w14:paraId="3B42BFC0" w14:textId="77777777" w:rsidR="00EA7229" w:rsidRDefault="00EA7229" w:rsidP="00DA061A">
            <w:pPr>
              <w:tabs>
                <w:tab w:val="right" w:pos="7371"/>
              </w:tabs>
            </w:pPr>
          </w:p>
          <w:p w14:paraId="0AC2F362" w14:textId="77777777" w:rsidR="00EA7229" w:rsidRPr="002B7B2A" w:rsidRDefault="00EA7229" w:rsidP="00DA061A">
            <w:pPr>
              <w:tabs>
                <w:tab w:val="right" w:pos="7371"/>
              </w:tabs>
              <w:rPr>
                <w:b/>
              </w:rPr>
            </w:pPr>
            <w:r w:rsidRPr="002B7B2A">
              <w:rPr>
                <w:b/>
              </w:rPr>
              <w:t>Titre de la revue</w:t>
            </w:r>
          </w:p>
          <w:p w14:paraId="73FFA6C7" w14:textId="77777777" w:rsidR="00EA7229" w:rsidRDefault="00EA7229" w:rsidP="00DA061A">
            <w:pPr>
              <w:tabs>
                <w:tab w:val="right" w:pos="7371"/>
              </w:tabs>
            </w:pPr>
          </w:p>
        </w:tc>
        <w:tc>
          <w:tcPr>
            <w:tcW w:w="10737" w:type="dxa"/>
          </w:tcPr>
          <w:p w14:paraId="31AE18A1" w14:textId="77777777" w:rsidR="006A2242" w:rsidRPr="00705A35" w:rsidRDefault="006A2242" w:rsidP="006A2242">
            <w:pPr>
              <w:tabs>
                <w:tab w:val="right" w:pos="7371"/>
              </w:tabs>
              <w:rPr>
                <w:lang w:val="en-US"/>
              </w:rPr>
            </w:pPr>
            <w:r w:rsidRPr="00705A35">
              <w:rPr>
                <w:lang w:val="en-US"/>
              </w:rPr>
              <w:t xml:space="preserve">NURSING INTERVENTIONS PROMOTING FUNCTIONALITY AMONG ADULTS WITH MULTIPLE SCLEROSIS: INTEGRATIVE REVIEW </w:t>
            </w:r>
          </w:p>
          <w:p w14:paraId="7EF3A789" w14:textId="77777777" w:rsidR="00EA7229" w:rsidRPr="00705A35" w:rsidRDefault="00EA7229" w:rsidP="00DA061A">
            <w:pPr>
              <w:tabs>
                <w:tab w:val="right" w:pos="7371"/>
              </w:tabs>
              <w:rPr>
                <w:lang w:val="en-US"/>
              </w:rPr>
            </w:pPr>
          </w:p>
        </w:tc>
      </w:tr>
      <w:tr w:rsidR="00EA7229" w:rsidRPr="00705A35" w14:paraId="79BD4AF1" w14:textId="77777777" w:rsidTr="00EA7229">
        <w:tc>
          <w:tcPr>
            <w:tcW w:w="3823" w:type="dxa"/>
          </w:tcPr>
          <w:p w14:paraId="16E404B9" w14:textId="77777777" w:rsidR="00EA7229" w:rsidRPr="00705A35" w:rsidRDefault="00EA7229" w:rsidP="00DA061A">
            <w:pPr>
              <w:tabs>
                <w:tab w:val="right" w:pos="7371"/>
              </w:tabs>
              <w:rPr>
                <w:lang w:val="en-US"/>
              </w:rPr>
            </w:pPr>
          </w:p>
          <w:p w14:paraId="4495F9C9" w14:textId="77777777" w:rsidR="00EA7229" w:rsidRDefault="00EA7229" w:rsidP="00DA061A">
            <w:pPr>
              <w:tabs>
                <w:tab w:val="right" w:pos="7371"/>
              </w:tabs>
            </w:pPr>
            <w:r>
              <w:t>Contexte</w:t>
            </w:r>
          </w:p>
          <w:p w14:paraId="489C5FEC" w14:textId="77777777" w:rsidR="00EA7229" w:rsidRDefault="00EA7229" w:rsidP="00DA061A">
            <w:pPr>
              <w:tabs>
                <w:tab w:val="right" w:pos="7371"/>
              </w:tabs>
            </w:pPr>
          </w:p>
        </w:tc>
        <w:tc>
          <w:tcPr>
            <w:tcW w:w="10737" w:type="dxa"/>
          </w:tcPr>
          <w:p w14:paraId="3218BAA6" w14:textId="1E015841" w:rsidR="00EA7229" w:rsidRPr="00705A35" w:rsidRDefault="00705A35" w:rsidP="00DA061A">
            <w:pPr>
              <w:tabs>
                <w:tab w:val="right" w:pos="7371"/>
              </w:tabs>
              <w:rPr>
                <w:lang w:val="en-US"/>
              </w:rPr>
            </w:pPr>
            <w:r w:rsidRPr="00705A35">
              <w:rPr>
                <w:lang w:val="en-US"/>
              </w:rPr>
              <w:t xml:space="preserve">Contexte hospitalier. </w:t>
            </w:r>
          </w:p>
        </w:tc>
      </w:tr>
      <w:tr w:rsidR="00EA7229" w:rsidRPr="00705A35" w14:paraId="47A88454" w14:textId="77777777" w:rsidTr="00EA7229">
        <w:tc>
          <w:tcPr>
            <w:tcW w:w="3823" w:type="dxa"/>
          </w:tcPr>
          <w:p w14:paraId="6DF0FB2E" w14:textId="77777777" w:rsidR="00EA7229" w:rsidRPr="00705A35" w:rsidRDefault="00EA7229" w:rsidP="00DA061A">
            <w:pPr>
              <w:tabs>
                <w:tab w:val="right" w:pos="7371"/>
              </w:tabs>
              <w:rPr>
                <w:lang w:val="en-US"/>
              </w:rPr>
            </w:pPr>
          </w:p>
          <w:p w14:paraId="50E108D3" w14:textId="77777777" w:rsidR="00EA7229" w:rsidRPr="00705A35" w:rsidRDefault="00EA7229" w:rsidP="00DA061A">
            <w:pPr>
              <w:tabs>
                <w:tab w:val="right" w:pos="7371"/>
              </w:tabs>
              <w:rPr>
                <w:lang w:val="en-US"/>
              </w:rPr>
            </w:pPr>
            <w:r w:rsidRPr="00705A35">
              <w:rPr>
                <w:lang w:val="en-US"/>
              </w:rPr>
              <w:t xml:space="preserve">Objectifs </w:t>
            </w:r>
            <w:r w:rsidR="002B7B2A" w:rsidRPr="00705A35">
              <w:rPr>
                <w:lang w:val="en-US"/>
              </w:rPr>
              <w:t>(PICO)</w:t>
            </w:r>
          </w:p>
          <w:p w14:paraId="641C5CE5" w14:textId="77777777" w:rsidR="00EA7229" w:rsidRPr="00705A35" w:rsidRDefault="00EA7229" w:rsidP="00DA061A">
            <w:pPr>
              <w:tabs>
                <w:tab w:val="right" w:pos="7371"/>
              </w:tabs>
              <w:rPr>
                <w:lang w:val="en-US"/>
              </w:rPr>
            </w:pPr>
          </w:p>
        </w:tc>
        <w:tc>
          <w:tcPr>
            <w:tcW w:w="10737" w:type="dxa"/>
          </w:tcPr>
          <w:p w14:paraId="2F2499A7" w14:textId="77777777" w:rsidR="00924306" w:rsidRPr="00705A35" w:rsidRDefault="00924306" w:rsidP="00924306">
            <w:pPr>
              <w:tabs>
                <w:tab w:val="right" w:pos="7371"/>
              </w:tabs>
              <w:rPr>
                <w:lang w:val="en-US"/>
              </w:rPr>
            </w:pPr>
            <w:r w:rsidRPr="00705A35">
              <w:rPr>
                <w:lang w:val="en-US"/>
              </w:rPr>
              <w:t xml:space="preserve">Which are the nursing interventions promoting functionality among adults with multiple sclerosis during their hospitalization? </w:t>
            </w:r>
          </w:p>
          <w:p w14:paraId="2A277B0E" w14:textId="77777777" w:rsidR="00EA7229" w:rsidRPr="00705A35" w:rsidRDefault="00EA7229" w:rsidP="00DA061A">
            <w:pPr>
              <w:tabs>
                <w:tab w:val="right" w:pos="7371"/>
              </w:tabs>
              <w:rPr>
                <w:lang w:val="en-US"/>
              </w:rPr>
            </w:pPr>
          </w:p>
        </w:tc>
      </w:tr>
      <w:tr w:rsidR="00EA7229" w14:paraId="04284E6E" w14:textId="77777777" w:rsidTr="00EA7229">
        <w:tc>
          <w:tcPr>
            <w:tcW w:w="3823" w:type="dxa"/>
          </w:tcPr>
          <w:p w14:paraId="26E965DB" w14:textId="77777777" w:rsidR="00EA7229" w:rsidRPr="00705A35" w:rsidRDefault="00EA7229" w:rsidP="00DA061A">
            <w:pPr>
              <w:tabs>
                <w:tab w:val="right" w:pos="7371"/>
              </w:tabs>
              <w:rPr>
                <w:lang w:val="en-US"/>
              </w:rPr>
            </w:pPr>
          </w:p>
          <w:p w14:paraId="62F54624" w14:textId="77777777" w:rsidR="00EA7229" w:rsidRDefault="00EA7229" w:rsidP="00DA061A">
            <w:pPr>
              <w:tabs>
                <w:tab w:val="right" w:pos="7371"/>
              </w:tabs>
            </w:pPr>
            <w:r>
              <w:t>Sources (bases) des données</w:t>
            </w:r>
          </w:p>
          <w:p w14:paraId="7690CD22" w14:textId="77777777" w:rsidR="00EA7229" w:rsidRDefault="00EA7229" w:rsidP="00DA061A">
            <w:pPr>
              <w:tabs>
                <w:tab w:val="right" w:pos="7371"/>
              </w:tabs>
            </w:pPr>
          </w:p>
        </w:tc>
        <w:tc>
          <w:tcPr>
            <w:tcW w:w="10737" w:type="dxa"/>
          </w:tcPr>
          <w:p w14:paraId="2C1A8D6F" w14:textId="77777777" w:rsidR="00EC3624" w:rsidRDefault="00EC3624" w:rsidP="00EC3624">
            <w:pPr>
              <w:tabs>
                <w:tab w:val="right" w:pos="7371"/>
              </w:tabs>
              <w:rPr>
                <w:lang w:val="fr-FR"/>
              </w:rPr>
            </w:pPr>
            <w:r>
              <w:rPr>
                <w:lang w:val="fr-FR"/>
              </w:rPr>
              <w:t>Les bases de données utilisées </w:t>
            </w:r>
            <w:r w:rsidR="00480D6A">
              <w:rPr>
                <w:lang w:val="fr-FR"/>
              </w:rPr>
              <w:t xml:space="preserve">(pour 21 articles) </w:t>
            </w:r>
            <w:r>
              <w:rPr>
                <w:lang w:val="fr-FR"/>
              </w:rPr>
              <w:t xml:space="preserve">: </w:t>
            </w:r>
            <w:r w:rsidRPr="00EC3624">
              <w:rPr>
                <w:lang w:val="fr-FR"/>
              </w:rPr>
              <w:t xml:space="preserve"> </w:t>
            </w:r>
          </w:p>
          <w:p w14:paraId="11B0AD60" w14:textId="77777777" w:rsidR="00EC3624" w:rsidRPr="00EC3624" w:rsidRDefault="007B7B76" w:rsidP="00EC3624">
            <w:pPr>
              <w:pStyle w:val="Pardeliste"/>
              <w:numPr>
                <w:ilvl w:val="0"/>
                <w:numId w:val="2"/>
              </w:numPr>
              <w:tabs>
                <w:tab w:val="right" w:pos="7371"/>
              </w:tabs>
            </w:pPr>
            <w:r>
              <w:t>Pubmed</w:t>
            </w:r>
            <w:r w:rsidR="00BF098E">
              <w:t xml:space="preserve"> </w:t>
            </w:r>
          </w:p>
          <w:p w14:paraId="41F7EB61" w14:textId="77777777" w:rsidR="00EC3624" w:rsidRDefault="00EC3624" w:rsidP="00EC3624">
            <w:pPr>
              <w:pStyle w:val="Pardeliste"/>
              <w:numPr>
                <w:ilvl w:val="0"/>
                <w:numId w:val="2"/>
              </w:numPr>
              <w:tabs>
                <w:tab w:val="right" w:pos="7371"/>
              </w:tabs>
            </w:pPr>
            <w:r>
              <w:t xml:space="preserve">EBSCO </w:t>
            </w:r>
          </w:p>
          <w:p w14:paraId="5F0DC838" w14:textId="77777777" w:rsidR="00EC3624" w:rsidRDefault="00EC3624" w:rsidP="00EC3624">
            <w:pPr>
              <w:pStyle w:val="Pardeliste"/>
              <w:numPr>
                <w:ilvl w:val="0"/>
                <w:numId w:val="2"/>
              </w:numPr>
              <w:tabs>
                <w:tab w:val="right" w:pos="7371"/>
              </w:tabs>
            </w:pPr>
            <w:r>
              <w:t xml:space="preserve">B-On </w:t>
            </w:r>
          </w:p>
          <w:p w14:paraId="2EC70056" w14:textId="77777777" w:rsidR="00EC3624" w:rsidRDefault="00EC3624" w:rsidP="00EC3624">
            <w:pPr>
              <w:pStyle w:val="Pardeliste"/>
              <w:numPr>
                <w:ilvl w:val="0"/>
                <w:numId w:val="2"/>
              </w:numPr>
              <w:tabs>
                <w:tab w:val="right" w:pos="7371"/>
              </w:tabs>
            </w:pPr>
            <w:r w:rsidRPr="00EC3624">
              <w:t>ISI</w:t>
            </w:r>
          </w:p>
          <w:p w14:paraId="23649D9D" w14:textId="77777777" w:rsidR="00BF098E" w:rsidRPr="00ED4F1E" w:rsidRDefault="00EC3624" w:rsidP="00ED4F1E">
            <w:pPr>
              <w:pStyle w:val="Pardeliste"/>
              <w:numPr>
                <w:ilvl w:val="0"/>
                <w:numId w:val="2"/>
              </w:numPr>
              <w:tabs>
                <w:tab w:val="right" w:pos="7371"/>
              </w:tabs>
            </w:pPr>
            <w:r w:rsidRPr="00EC3624">
              <w:t xml:space="preserve">JBI </w:t>
            </w:r>
          </w:p>
          <w:p w14:paraId="65FF569E" w14:textId="77777777" w:rsidR="007B7B76" w:rsidRDefault="007B7B76" w:rsidP="00EC3624">
            <w:pPr>
              <w:pStyle w:val="Pardeliste"/>
              <w:numPr>
                <w:ilvl w:val="0"/>
                <w:numId w:val="2"/>
              </w:numPr>
              <w:tabs>
                <w:tab w:val="right" w:pos="7371"/>
              </w:tabs>
            </w:pPr>
            <w:r>
              <w:t>sciELO</w:t>
            </w:r>
          </w:p>
          <w:p w14:paraId="0FAAC949" w14:textId="77777777" w:rsidR="007B7B76" w:rsidRDefault="007B7B76" w:rsidP="00EC3624">
            <w:pPr>
              <w:pStyle w:val="Pardeliste"/>
              <w:numPr>
                <w:ilvl w:val="0"/>
                <w:numId w:val="2"/>
              </w:numPr>
              <w:tabs>
                <w:tab w:val="right" w:pos="7371"/>
              </w:tabs>
            </w:pPr>
            <w:r>
              <w:t>Science direct</w:t>
            </w:r>
          </w:p>
          <w:p w14:paraId="25F8BFDA" w14:textId="77777777" w:rsidR="007B7B76" w:rsidRDefault="007B7B76" w:rsidP="00EC3624">
            <w:pPr>
              <w:pStyle w:val="Pardeliste"/>
              <w:numPr>
                <w:ilvl w:val="0"/>
                <w:numId w:val="2"/>
              </w:numPr>
              <w:tabs>
                <w:tab w:val="right" w:pos="7371"/>
              </w:tabs>
            </w:pPr>
            <w:r>
              <w:t>Wiley online library</w:t>
            </w:r>
          </w:p>
          <w:p w14:paraId="52E4C8DD" w14:textId="77777777" w:rsidR="007B7B76" w:rsidRPr="00EC3624" w:rsidRDefault="007B7B76" w:rsidP="00EC3624">
            <w:pPr>
              <w:pStyle w:val="Pardeliste"/>
              <w:numPr>
                <w:ilvl w:val="0"/>
                <w:numId w:val="2"/>
              </w:numPr>
              <w:tabs>
                <w:tab w:val="right" w:pos="7371"/>
              </w:tabs>
            </w:pPr>
            <w:r>
              <w:t>Virtual Health Library</w:t>
            </w:r>
          </w:p>
          <w:p w14:paraId="2DFAA8BE" w14:textId="77777777" w:rsidR="00EA7229" w:rsidRDefault="00EA7229" w:rsidP="00DA061A">
            <w:pPr>
              <w:tabs>
                <w:tab w:val="right" w:pos="7371"/>
              </w:tabs>
            </w:pPr>
          </w:p>
        </w:tc>
      </w:tr>
      <w:tr w:rsidR="00EA7229" w14:paraId="44E379E3" w14:textId="77777777" w:rsidTr="00EA7229">
        <w:tc>
          <w:tcPr>
            <w:tcW w:w="3823" w:type="dxa"/>
          </w:tcPr>
          <w:p w14:paraId="1955776E" w14:textId="77777777" w:rsidR="00EA7229" w:rsidRDefault="00EA7229" w:rsidP="00DA061A">
            <w:pPr>
              <w:tabs>
                <w:tab w:val="right" w:pos="7371"/>
              </w:tabs>
            </w:pPr>
          </w:p>
          <w:p w14:paraId="7ED3638A" w14:textId="77777777" w:rsidR="002B7B2A" w:rsidRDefault="00EA7229" w:rsidP="002B7B2A">
            <w:pPr>
              <w:tabs>
                <w:tab w:val="right" w:pos="7371"/>
              </w:tabs>
            </w:pPr>
            <w:r>
              <w:t>Critères d’éligibilité</w:t>
            </w:r>
            <w:r w:rsidR="002B7B2A">
              <w:t xml:space="preserve"> ou </w:t>
            </w:r>
            <w:r>
              <w:t xml:space="preserve"> </w:t>
            </w:r>
            <w:r w:rsidR="002B7B2A">
              <w:t xml:space="preserve">caractéristiques </w:t>
            </w:r>
            <w:r>
              <w:t>des études</w:t>
            </w:r>
            <w:r w:rsidR="002B7B2A">
              <w:t xml:space="preserve"> </w:t>
            </w:r>
            <w:r w:rsidR="008F09BC">
              <w:t>(durée, années, langues,)</w:t>
            </w:r>
          </w:p>
          <w:p w14:paraId="0E9EA843" w14:textId="77777777" w:rsidR="00EA7229" w:rsidRDefault="00EA7229" w:rsidP="002B7B2A">
            <w:pPr>
              <w:tabs>
                <w:tab w:val="right" w:pos="7371"/>
              </w:tabs>
              <w:jc w:val="left"/>
            </w:pPr>
          </w:p>
          <w:p w14:paraId="77A9C104" w14:textId="77777777" w:rsidR="00EA7229" w:rsidRDefault="00EA7229" w:rsidP="00DA061A">
            <w:pPr>
              <w:tabs>
                <w:tab w:val="right" w:pos="7371"/>
              </w:tabs>
            </w:pPr>
          </w:p>
        </w:tc>
        <w:tc>
          <w:tcPr>
            <w:tcW w:w="10737" w:type="dxa"/>
          </w:tcPr>
          <w:p w14:paraId="465EBCE0" w14:textId="77777777" w:rsidR="00C2228C" w:rsidRDefault="00C2228C" w:rsidP="00DA061A">
            <w:pPr>
              <w:tabs>
                <w:tab w:val="right" w:pos="7371"/>
              </w:tabs>
            </w:pPr>
          </w:p>
          <w:p w14:paraId="3B80B21F" w14:textId="77777777" w:rsidR="00EA7229" w:rsidRDefault="00EC3624" w:rsidP="00DA061A">
            <w:pPr>
              <w:tabs>
                <w:tab w:val="right" w:pos="7371"/>
              </w:tabs>
            </w:pPr>
            <w:r>
              <w:t xml:space="preserve">Langues : </w:t>
            </w:r>
            <w:r w:rsidR="007B7B76">
              <w:t xml:space="preserve">anglais, portuguais, </w:t>
            </w:r>
          </w:p>
          <w:p w14:paraId="533E1372" w14:textId="77777777" w:rsidR="005400FD" w:rsidRDefault="005400FD" w:rsidP="00DA061A">
            <w:pPr>
              <w:tabs>
                <w:tab w:val="right" w:pos="7371"/>
              </w:tabs>
            </w:pPr>
            <w:r>
              <w:t>Années : 2009 à 2014</w:t>
            </w:r>
          </w:p>
          <w:p w14:paraId="129289F2" w14:textId="77777777" w:rsidR="005400FD" w:rsidRDefault="005400FD" w:rsidP="00DA061A">
            <w:pPr>
              <w:tabs>
                <w:tab w:val="right" w:pos="7371"/>
              </w:tabs>
            </w:pPr>
            <w:r>
              <w:t>Durée : 5 ans</w:t>
            </w:r>
          </w:p>
          <w:p w14:paraId="5352BE26" w14:textId="77777777" w:rsidR="00705A35" w:rsidRDefault="00705A35" w:rsidP="00DA061A">
            <w:pPr>
              <w:tabs>
                <w:tab w:val="right" w:pos="7371"/>
              </w:tabs>
            </w:pPr>
            <w:r>
              <w:t xml:space="preserve">Descripteurs utilisés : </w:t>
            </w:r>
            <w:r w:rsidRPr="00705A35">
              <w:t>“nurs*,” “interventions,” “self-care,” “adult,” “fatigue,” “multiple sclerosis,” “functionality,” “hospitalization,” in associations (AND and OR).</w:t>
            </w:r>
            <w:r>
              <w:t xml:space="preserve"> </w:t>
            </w:r>
          </w:p>
          <w:p w14:paraId="0F7CE17F" w14:textId="48DCA27F" w:rsidR="00705A35" w:rsidRDefault="00705A35" w:rsidP="00DA061A">
            <w:pPr>
              <w:tabs>
                <w:tab w:val="right" w:pos="7371"/>
              </w:tabs>
            </w:pPr>
            <w:r w:rsidRPr="00705A35">
              <w:sym w:font="Wingdings" w:char="F0E0"/>
            </w:r>
            <w:r>
              <w:t xml:space="preserve"> Infirmier, interventions, auto-soins, adultes, fatigue, sclérose en plaques, fonctionnel, hospitalisation, avec ET et OU. </w:t>
            </w:r>
          </w:p>
        </w:tc>
      </w:tr>
      <w:tr w:rsidR="00EA7229" w14:paraId="57065BC3" w14:textId="77777777" w:rsidTr="00EA7229">
        <w:tc>
          <w:tcPr>
            <w:tcW w:w="3823" w:type="dxa"/>
          </w:tcPr>
          <w:p w14:paraId="65C7CE82" w14:textId="77777777" w:rsidR="00EA7229" w:rsidRDefault="00EA7229" w:rsidP="00DA061A">
            <w:pPr>
              <w:tabs>
                <w:tab w:val="right" w:pos="7371"/>
              </w:tabs>
            </w:pPr>
          </w:p>
          <w:p w14:paraId="3D4A3149" w14:textId="77777777" w:rsidR="00EA7229" w:rsidRDefault="002B7B2A" w:rsidP="002B7B2A">
            <w:pPr>
              <w:tabs>
                <w:tab w:val="right" w:pos="7371"/>
              </w:tabs>
            </w:pPr>
            <w:r>
              <w:t>Participants</w:t>
            </w:r>
          </w:p>
          <w:p w14:paraId="6251921D" w14:textId="77777777" w:rsidR="002B7B2A" w:rsidRDefault="002B7B2A" w:rsidP="002B7B2A">
            <w:pPr>
              <w:tabs>
                <w:tab w:val="right" w:pos="7371"/>
              </w:tabs>
            </w:pPr>
          </w:p>
        </w:tc>
        <w:tc>
          <w:tcPr>
            <w:tcW w:w="10737" w:type="dxa"/>
          </w:tcPr>
          <w:p w14:paraId="6E5F3F25" w14:textId="0A7D84D6" w:rsidR="00EA7229" w:rsidRDefault="00FE7A8C" w:rsidP="00DA061A">
            <w:pPr>
              <w:tabs>
                <w:tab w:val="right" w:pos="7371"/>
              </w:tabs>
            </w:pPr>
            <w:r>
              <w:t xml:space="preserve">Patients atteints de sclérose en plaques dans un contexte hospitalier. </w:t>
            </w:r>
          </w:p>
        </w:tc>
      </w:tr>
      <w:tr w:rsidR="00EA7229" w14:paraId="02AE8AB5" w14:textId="77777777" w:rsidTr="00EA7229">
        <w:tc>
          <w:tcPr>
            <w:tcW w:w="3823" w:type="dxa"/>
          </w:tcPr>
          <w:p w14:paraId="29FB2248" w14:textId="77777777" w:rsidR="00EA7229" w:rsidRDefault="00EA7229" w:rsidP="00DA061A">
            <w:pPr>
              <w:tabs>
                <w:tab w:val="right" w:pos="7371"/>
              </w:tabs>
            </w:pPr>
          </w:p>
          <w:p w14:paraId="225EE0DA" w14:textId="77777777" w:rsidR="00EA7229" w:rsidRDefault="00EA7229" w:rsidP="00DA061A">
            <w:pPr>
              <w:tabs>
                <w:tab w:val="right" w:pos="7371"/>
              </w:tabs>
            </w:pPr>
            <w:r>
              <w:t>Interventions</w:t>
            </w:r>
          </w:p>
          <w:p w14:paraId="2CE4C39E" w14:textId="77777777" w:rsidR="00EA7229" w:rsidRDefault="00EA7229" w:rsidP="00DA061A">
            <w:pPr>
              <w:tabs>
                <w:tab w:val="right" w:pos="7371"/>
              </w:tabs>
            </w:pPr>
          </w:p>
        </w:tc>
        <w:tc>
          <w:tcPr>
            <w:tcW w:w="10737" w:type="dxa"/>
          </w:tcPr>
          <w:p w14:paraId="631DF2A2" w14:textId="77777777" w:rsidR="00EA7229" w:rsidRDefault="00705A35" w:rsidP="00DA061A">
            <w:pPr>
              <w:tabs>
                <w:tab w:val="right" w:pos="7371"/>
              </w:tabs>
            </w:pPr>
            <w:r>
              <w:t xml:space="preserve">Les résultats sont classés par ordre du Modèle de santé fonctionnel de Gordon Marjory. </w:t>
            </w:r>
          </w:p>
          <w:p w14:paraId="211F086C" w14:textId="77777777" w:rsidR="006E7FCA" w:rsidRDefault="00705A35" w:rsidP="00DE7B09">
            <w:pPr>
              <w:pStyle w:val="Pardeliste"/>
              <w:numPr>
                <w:ilvl w:val="0"/>
                <w:numId w:val="4"/>
              </w:numPr>
              <w:tabs>
                <w:tab w:val="right" w:pos="7371"/>
              </w:tabs>
            </w:pPr>
            <w:r w:rsidRPr="006E7FCA">
              <w:rPr>
                <w:b/>
              </w:rPr>
              <w:t>Perception et gestion de la santé</w:t>
            </w:r>
            <w:r>
              <w:t xml:space="preserve"> : </w:t>
            </w:r>
          </w:p>
          <w:p w14:paraId="4EC0BEE3" w14:textId="104E2646" w:rsidR="00705A35" w:rsidRDefault="00DE7B09" w:rsidP="006E7FCA">
            <w:pPr>
              <w:pStyle w:val="Pardeliste"/>
              <w:tabs>
                <w:tab w:val="right" w:pos="7371"/>
              </w:tabs>
            </w:pPr>
            <w:r>
              <w:t xml:space="preserve">Il faut savoir ce que le patient sait déjà de la pathologie ainsi que ses perceptions sur la maladie et les thérapies autour. Une éducation thérapeutique visera à augmenter le bien-être. </w:t>
            </w:r>
          </w:p>
          <w:p w14:paraId="6A16F46B" w14:textId="1FB1D439" w:rsidR="00DE7B09" w:rsidRDefault="00DE7B09" w:rsidP="00DE7B09">
            <w:pPr>
              <w:pStyle w:val="Pardeliste"/>
              <w:tabs>
                <w:tab w:val="right" w:pos="7371"/>
              </w:tabs>
            </w:pPr>
            <w:r>
              <w:lastRenderedPageBreak/>
              <w:t>Il faut faire une interview afin de savoir les connai</w:t>
            </w:r>
            <w:r w:rsidR="006E7FCA">
              <w:t>ssances et lui enseigner les processus sa</w:t>
            </w:r>
            <w:r>
              <w:t xml:space="preserve">nté-maladie. </w:t>
            </w:r>
          </w:p>
          <w:p w14:paraId="4DFE2852" w14:textId="77777777" w:rsidR="006E7FCA" w:rsidRDefault="006E7FCA" w:rsidP="00BA7346">
            <w:pPr>
              <w:pStyle w:val="Pardeliste"/>
              <w:numPr>
                <w:ilvl w:val="0"/>
                <w:numId w:val="4"/>
              </w:numPr>
              <w:tabs>
                <w:tab w:val="right" w:pos="7371"/>
              </w:tabs>
            </w:pPr>
            <w:r>
              <w:rPr>
                <w:b/>
              </w:rPr>
              <w:t>Nutrition :</w:t>
            </w:r>
          </w:p>
          <w:p w14:paraId="11FCD0C7" w14:textId="602386FB" w:rsidR="00BA7346" w:rsidRPr="00BA7346" w:rsidRDefault="007037C1" w:rsidP="006E7FCA">
            <w:pPr>
              <w:pStyle w:val="Pardeliste"/>
              <w:tabs>
                <w:tab w:val="right" w:pos="7371"/>
              </w:tabs>
            </w:pPr>
            <w:r>
              <w:t xml:space="preserve">Les patients atteints de SEP n’ont pas de besoins nutritionnels spécifiques. </w:t>
            </w:r>
            <w:r w:rsidR="00BA7346" w:rsidRPr="00BA7346">
              <w:t>Malgré cela l</w:t>
            </w:r>
            <w:r w:rsidRPr="00BA7346">
              <w:t xml:space="preserve">es infirmiers vont proposer une alimentation équilibrée. Le modèle alimentaire se composera de six repas et un apport liquidien minimal de 1.5l par jour. </w:t>
            </w:r>
          </w:p>
          <w:p w14:paraId="3B74F1BC" w14:textId="7332BCEC" w:rsidR="00BA7346" w:rsidRDefault="007037C1" w:rsidP="00BA7346">
            <w:pPr>
              <w:pStyle w:val="Pardeliste"/>
              <w:tabs>
                <w:tab w:val="right" w:pos="7371"/>
              </w:tabs>
            </w:pPr>
            <w:r>
              <w:t xml:space="preserve">Cependant, il est conseillé </w:t>
            </w:r>
            <w:r w:rsidR="00BA7346">
              <w:t>de limiter l</w:t>
            </w:r>
            <w:r>
              <w:t xml:space="preserve">es apports </w:t>
            </w:r>
            <w:r w:rsidR="00BA7346">
              <w:t>d’aci</w:t>
            </w:r>
            <w:r>
              <w:t>d</w:t>
            </w:r>
            <w:r w:rsidR="00BA7346">
              <w:t>e</w:t>
            </w:r>
            <w:r>
              <w:t>s gras animaux</w:t>
            </w:r>
            <w:r w:rsidR="00BA7346">
              <w:t xml:space="preserve"> mais doivent consommer des viandes maigres comme le poulet et le poisson. Il faut consommer plus d’acides gras issus des légumes (utilisés par le corps pour la production de myéline</w:t>
            </w:r>
            <w:r w:rsidR="006E7FCA">
              <w:t xml:space="preserve"> qui elle-même est constituée de gras</w:t>
            </w:r>
            <w:r w:rsidR="00BA7346">
              <w:t xml:space="preserve">), des vitamines B12 (pommes de terre, bananes, poivrons, huile de fois, dinde et de thon), et des vitamines A (melon, mangue, carottes, brocolis, et du citron), vitamine D (champignons, œufs, saumon, sardines, et du thon), Vitamine E (Noix et cacahuètes) et des acides gras poly-insaturés tels que l’huile de tournesol qui stimulent le système immunitaire et aide à contrôler les symptômes de la SEP. </w:t>
            </w:r>
          </w:p>
          <w:p w14:paraId="3A1CBB39" w14:textId="77777777" w:rsidR="00BA7346" w:rsidRDefault="006E7FCA" w:rsidP="00BA7346">
            <w:pPr>
              <w:pStyle w:val="Pardeliste"/>
              <w:numPr>
                <w:ilvl w:val="0"/>
                <w:numId w:val="4"/>
              </w:numPr>
              <w:tabs>
                <w:tab w:val="right" w:pos="7371"/>
              </w:tabs>
            </w:pPr>
            <w:r w:rsidRPr="006E7FCA">
              <w:rPr>
                <w:b/>
              </w:rPr>
              <w:t>Elimination</w:t>
            </w:r>
            <w:r>
              <w:t xml:space="preserve"> : </w:t>
            </w:r>
          </w:p>
          <w:p w14:paraId="130E4DE7" w14:textId="77777777" w:rsidR="006E7FCA" w:rsidRDefault="006E7FCA" w:rsidP="006E7FCA">
            <w:pPr>
              <w:pStyle w:val="Pardeliste"/>
              <w:tabs>
                <w:tab w:val="right" w:pos="7371"/>
              </w:tabs>
            </w:pPr>
            <w:r>
              <w:t xml:space="preserve">Afin de limiter les accidents liés à l’incontinence, les patients sont conseillés de porter des habits faciles à retirer. Quant à la constipation, il est suggéré de de boire 1.5l à 2l de liquides par jour ainsi que de consommer des aliments riches en fibres. Les aliments irritants, gras et épicés sont déconseillés car procurent des problèmes intestinaux durs à réguler par le patient. C’est pourquoi le patient devrait évaluer les caractéristiques des selles dans le but d’identifier tout changement dans l’élimination. </w:t>
            </w:r>
          </w:p>
          <w:p w14:paraId="35D5C597" w14:textId="77777777" w:rsidR="006E7FCA" w:rsidRDefault="006E7FCA" w:rsidP="006E7FCA">
            <w:pPr>
              <w:pStyle w:val="Pardeliste"/>
              <w:tabs>
                <w:tab w:val="right" w:pos="7371"/>
              </w:tabs>
            </w:pPr>
            <w:r>
              <w:t xml:space="preserve">Il peut également être nécessaire d’instaurer un </w:t>
            </w:r>
            <w:r w:rsidR="00510AEC">
              <w:t>cathétérisme</w:t>
            </w:r>
            <w:r>
              <w:t xml:space="preserve"> à la maison en cas de troubles urinaires. Des exercices permettant de tonifier et muscler les muscles detruseurs ainsi que pelviens devraient être enseignés. </w:t>
            </w:r>
          </w:p>
          <w:p w14:paraId="42AF6911" w14:textId="77777777" w:rsidR="00510AEC" w:rsidRDefault="00510AEC" w:rsidP="00510AEC">
            <w:pPr>
              <w:pStyle w:val="Pardeliste"/>
              <w:numPr>
                <w:ilvl w:val="0"/>
                <w:numId w:val="4"/>
              </w:numPr>
              <w:tabs>
                <w:tab w:val="right" w:pos="7371"/>
              </w:tabs>
            </w:pPr>
            <w:r w:rsidRPr="00510AEC">
              <w:rPr>
                <w:b/>
              </w:rPr>
              <w:t>Activités et exercices physiques</w:t>
            </w:r>
            <w:r>
              <w:t xml:space="preserve"> : </w:t>
            </w:r>
          </w:p>
          <w:p w14:paraId="6C213D09" w14:textId="77777777" w:rsidR="00510AEC" w:rsidRDefault="00510AEC" w:rsidP="00510AEC">
            <w:pPr>
              <w:pStyle w:val="Pardeliste"/>
              <w:tabs>
                <w:tab w:val="right" w:pos="7371"/>
              </w:tabs>
            </w:pPr>
            <w:r>
              <w:t xml:space="preserve">Exercice physique régulier devrait être dans la routine quotidienne du patient et l’importance de celui-ci devrait être expliquée. L’activité physique consiste à avoir des marches régulières durant de 10 à 50 minutes. Si le patient se fatigue trop vite, il devra organiser des pauses et boire des liquides afin de récupérer et pouvoir continuer. </w:t>
            </w:r>
          </w:p>
          <w:p w14:paraId="47483871" w14:textId="77777777" w:rsidR="00510AEC" w:rsidRDefault="00510AEC" w:rsidP="00510AEC">
            <w:pPr>
              <w:pStyle w:val="Pardeliste"/>
              <w:tabs>
                <w:tab w:val="right" w:pos="7371"/>
              </w:tabs>
            </w:pPr>
            <w:r>
              <w:t xml:space="preserve">Pour les patients ayant des difficultés de mobilisation, il faudra prévoir un décubitus adapté et appliquer des crèmes hydratantes afin d’éviter des ulcères de pression. Pour les patient ne pouvant pas se mobiliser, il est possible également de faire des exercices tels que </w:t>
            </w:r>
            <w:r w:rsidR="00135D19">
              <w:t>surélever</w:t>
            </w:r>
            <w:r>
              <w:t xml:space="preserve"> les membres au moins quatre fois par jour pour garder la</w:t>
            </w:r>
            <w:r w:rsidR="00135D19">
              <w:t xml:space="preserve"> capacité</w:t>
            </w:r>
            <w:r>
              <w:t xml:space="preserve"> fonctionnalité de ceux-ci et éviter les ulcères induits par la pression. </w:t>
            </w:r>
            <w:r w:rsidR="00135D19">
              <w:t xml:space="preserve">Pour éviter une accumulation de sécrétions dans les voies respiratoires chez les patients avec des difficultés à tousser, il est crucial de leur enseigner une bonne manière de tousser. Cela va également leur permettre de tonifier les muscles de la respiration. </w:t>
            </w:r>
          </w:p>
          <w:p w14:paraId="36547033" w14:textId="77777777" w:rsidR="00135D19" w:rsidRPr="00135D19" w:rsidRDefault="00135D19" w:rsidP="00135D19">
            <w:pPr>
              <w:pStyle w:val="Pardeliste"/>
              <w:numPr>
                <w:ilvl w:val="0"/>
                <w:numId w:val="4"/>
              </w:numPr>
              <w:tabs>
                <w:tab w:val="right" w:pos="7371"/>
              </w:tabs>
            </w:pPr>
            <w:r>
              <w:rPr>
                <w:b/>
              </w:rPr>
              <w:t xml:space="preserve">Processus cognitifs et perceptifs : </w:t>
            </w:r>
          </w:p>
          <w:p w14:paraId="18FEFAA9" w14:textId="77777777" w:rsidR="00135D19" w:rsidRDefault="00135D19" w:rsidP="00135D19">
            <w:pPr>
              <w:pStyle w:val="Pardeliste"/>
              <w:tabs>
                <w:tab w:val="right" w:pos="7371"/>
              </w:tabs>
            </w:pPr>
            <w:r>
              <w:lastRenderedPageBreak/>
              <w:t xml:space="preserve">La vitesse de stockage ainsi que le traitement des informations sont l’une des fonctions cognitives les plus touchées. </w:t>
            </w:r>
          </w:p>
          <w:p w14:paraId="00F81813" w14:textId="77777777" w:rsidR="00135D19" w:rsidRDefault="00135D19" w:rsidP="00135D19">
            <w:pPr>
              <w:pStyle w:val="Pardeliste"/>
              <w:tabs>
                <w:tab w:val="right" w:pos="7371"/>
              </w:tabs>
            </w:pPr>
            <w:r>
              <w:t xml:space="preserve">Il faut mettre en place des listes ou des rappels (tels que les alarmes sur les téléphones) afin que le patient puisse toujours maintenir des activités. Pour augmenter les capacités cognitives il est important de planifier des interventions en lien avec l’état de fatigue. Il faut prioriser l’action d’un seul travail à la fois afin que le patient soit très actif cognitivement. </w:t>
            </w:r>
          </w:p>
          <w:p w14:paraId="43E4141E" w14:textId="77777777" w:rsidR="00135D19" w:rsidRDefault="00135D19" w:rsidP="00135D19">
            <w:pPr>
              <w:pStyle w:val="Pardeliste"/>
              <w:numPr>
                <w:ilvl w:val="0"/>
                <w:numId w:val="4"/>
              </w:numPr>
              <w:tabs>
                <w:tab w:val="right" w:pos="7371"/>
              </w:tabs>
            </w:pPr>
            <w:r>
              <w:rPr>
                <w:b/>
              </w:rPr>
              <w:t xml:space="preserve">Sommeil et repos : </w:t>
            </w:r>
          </w:p>
          <w:p w14:paraId="33A9798F" w14:textId="77777777" w:rsidR="00135D19" w:rsidRDefault="00076D8F" w:rsidP="00135D19">
            <w:pPr>
              <w:pStyle w:val="Pardeliste"/>
              <w:tabs>
                <w:tab w:val="right" w:pos="7371"/>
              </w:tabs>
            </w:pPr>
            <w:r>
              <w:t xml:space="preserve">Il faut pour un adulte 7-8 heures de sommeil. Dans le cas de la SEP, il est important de varier les périodes de travail avec les périodes de repos. Il faut également qu’il développe un sommeil adéquat afin de se reposer comme il faut. </w:t>
            </w:r>
          </w:p>
          <w:p w14:paraId="33DE6FE6" w14:textId="77777777" w:rsidR="00076D8F" w:rsidRDefault="00076D8F" w:rsidP="00076D8F">
            <w:pPr>
              <w:pStyle w:val="Pardeliste"/>
              <w:numPr>
                <w:ilvl w:val="0"/>
                <w:numId w:val="4"/>
              </w:numPr>
              <w:tabs>
                <w:tab w:val="right" w:pos="7371"/>
              </w:tabs>
            </w:pPr>
            <w:r w:rsidRPr="00076D8F">
              <w:rPr>
                <w:b/>
              </w:rPr>
              <w:t>Perception et conception du moi</w:t>
            </w:r>
            <w:r>
              <w:t> :</w:t>
            </w:r>
          </w:p>
          <w:p w14:paraId="23C2BE11" w14:textId="080F1F55" w:rsidR="00076D8F" w:rsidRDefault="00076D8F" w:rsidP="00076D8F">
            <w:pPr>
              <w:pStyle w:val="Pardeliste"/>
              <w:tabs>
                <w:tab w:val="right" w:pos="7371"/>
              </w:tabs>
            </w:pPr>
            <w:r>
              <w:t>Un infirmier devrait apporter un soutien psychologique et répondre aux questions du patient afin de réduire la peur, extérioriser les sentiments et l</w:t>
            </w:r>
            <w:r w:rsidR="00FE7A8C">
              <w:t>es difficultés du patient ai</w:t>
            </w:r>
            <w:r>
              <w:t>n</w:t>
            </w:r>
            <w:r w:rsidR="00FE7A8C">
              <w:t>s</w:t>
            </w:r>
            <w:r>
              <w:t xml:space="preserve">i qu’être présent afin d’écouter ce dernier. </w:t>
            </w:r>
          </w:p>
          <w:p w14:paraId="5EDDD280" w14:textId="77777777" w:rsidR="00076D8F" w:rsidRPr="00076D8F" w:rsidRDefault="00076D8F" w:rsidP="00076D8F">
            <w:pPr>
              <w:pStyle w:val="Pardeliste"/>
              <w:numPr>
                <w:ilvl w:val="0"/>
                <w:numId w:val="4"/>
              </w:numPr>
              <w:tabs>
                <w:tab w:val="right" w:pos="7371"/>
              </w:tabs>
            </w:pPr>
            <w:r>
              <w:rPr>
                <w:b/>
              </w:rPr>
              <w:t xml:space="preserve">Rôle et relations : </w:t>
            </w:r>
          </w:p>
          <w:p w14:paraId="33CD46BB" w14:textId="5110BF31" w:rsidR="00076D8F" w:rsidRDefault="00076D8F" w:rsidP="00076D8F">
            <w:pPr>
              <w:pStyle w:val="Pardeliste"/>
              <w:tabs>
                <w:tab w:val="right" w:pos="7371"/>
              </w:tabs>
            </w:pPr>
            <w:r>
              <w:t>Le patient ainsi que la famille sont encouragés à verbaliser leurs pensées, leurs émotions et sont encouragés à trouver des solutions afin d’augmenter leur</w:t>
            </w:r>
            <w:r w:rsidR="00FE7A8C">
              <w:t>s</w:t>
            </w:r>
            <w:r>
              <w:t xml:space="preserve"> relations avec la famille et également avec les amis. L’infirmier doit évaluer le risque d’isolement social </w:t>
            </w:r>
            <w:r w:rsidR="00FE7A8C">
              <w:t>et doit encourager le patient à</w:t>
            </w:r>
            <w:r>
              <w:t xml:space="preserve"> garder des relations sociales. </w:t>
            </w:r>
          </w:p>
          <w:p w14:paraId="285F17A5" w14:textId="794D8C39" w:rsidR="00974731" w:rsidRDefault="00974731" w:rsidP="00974731">
            <w:pPr>
              <w:pStyle w:val="Pardeliste"/>
              <w:numPr>
                <w:ilvl w:val="0"/>
                <w:numId w:val="4"/>
              </w:numPr>
              <w:tabs>
                <w:tab w:val="right" w:pos="7371"/>
              </w:tabs>
            </w:pPr>
            <w:r w:rsidRPr="00974731">
              <w:rPr>
                <w:b/>
              </w:rPr>
              <w:t>Sexualité</w:t>
            </w:r>
            <w:r>
              <w:t xml:space="preserve"> : </w:t>
            </w:r>
          </w:p>
          <w:p w14:paraId="0059C66B" w14:textId="7722359B" w:rsidR="00974731" w:rsidRDefault="00974731" w:rsidP="00974731">
            <w:pPr>
              <w:pStyle w:val="Pardeliste"/>
              <w:tabs>
                <w:tab w:val="right" w:pos="7371"/>
              </w:tabs>
            </w:pPr>
            <w:r>
              <w:t>Le rôle des infirmiers à travers une approche multidisciplinaire est d’identifier des manifestations de troubles sexuels ainsi que de stimuler la verbalisation des pensées et des émotions sur les problèmes sexuels. Les personnes atteint</w:t>
            </w:r>
            <w:r w:rsidR="00FE7A8C">
              <w:t>e</w:t>
            </w:r>
            <w:r>
              <w:t>s de SEP devraient avoir des informations quant à la lubrification vaginale, quant aux médicaments prescrits ainsi que l’utilisation</w:t>
            </w:r>
            <w:r w:rsidR="00327412">
              <w:t xml:space="preserve"> </w:t>
            </w:r>
            <w:r>
              <w:t xml:space="preserve">de pompes péniennes et de l’auto-administration de prostaglandines. </w:t>
            </w:r>
          </w:p>
          <w:p w14:paraId="75E54F70" w14:textId="77777777" w:rsidR="00974731" w:rsidRDefault="00974731" w:rsidP="00974731">
            <w:pPr>
              <w:pStyle w:val="Pardeliste"/>
              <w:numPr>
                <w:ilvl w:val="0"/>
                <w:numId w:val="4"/>
              </w:numPr>
              <w:tabs>
                <w:tab w:val="right" w:pos="7371"/>
              </w:tabs>
            </w:pPr>
            <w:r>
              <w:rPr>
                <w:b/>
              </w:rPr>
              <w:t xml:space="preserve">Adaptation et tolérance au stress : </w:t>
            </w:r>
            <w:r>
              <w:t xml:space="preserve"> </w:t>
            </w:r>
          </w:p>
          <w:p w14:paraId="2B16EE0D" w14:textId="698D4FA0" w:rsidR="00974731" w:rsidRDefault="00974731" w:rsidP="00974731">
            <w:pPr>
              <w:pStyle w:val="Pardeliste"/>
              <w:tabs>
                <w:tab w:val="right" w:pos="7371"/>
              </w:tabs>
            </w:pPr>
            <w:r>
              <w:t xml:space="preserve">Le rôle infirmier est d’identifier les facteurs de stratégie ainsi que d’identifier des facteurs déclenchant la fatigue et ensuite l’aider à adopter des stratégies et faire avec les symptômes. Le patient devrait être </w:t>
            </w:r>
            <w:r w:rsidR="00327412">
              <w:t xml:space="preserve">instruit aux techniques de relaxation à utiliser en périodes de stress ou de fatigue (techniques de respirations, relaxations des MI et MS). Le patient en cas de dépendance peut avoir une personne avec lui qui va </w:t>
            </w:r>
            <w:r w:rsidR="00FE7A8C">
              <w:t>l</w:t>
            </w:r>
            <w:r w:rsidR="00327412">
              <w:t>‘aider dans ses tâche</w:t>
            </w:r>
            <w:r w:rsidR="00FE7A8C">
              <w:t>s</w:t>
            </w:r>
            <w:r w:rsidR="00327412">
              <w:t xml:space="preserve"> mais le patient sera toujours acteur et sera encouragé à effectuer des exercices seul. </w:t>
            </w:r>
          </w:p>
          <w:p w14:paraId="07407377" w14:textId="77777777" w:rsidR="00327412" w:rsidRDefault="00327412" w:rsidP="00327412">
            <w:pPr>
              <w:pStyle w:val="Pardeliste"/>
              <w:numPr>
                <w:ilvl w:val="0"/>
                <w:numId w:val="4"/>
              </w:numPr>
              <w:tabs>
                <w:tab w:val="right" w:pos="7371"/>
              </w:tabs>
            </w:pPr>
            <w:r>
              <w:rPr>
                <w:b/>
              </w:rPr>
              <w:t xml:space="preserve">Valeurs et croyances : </w:t>
            </w:r>
          </w:p>
          <w:p w14:paraId="5F31559E" w14:textId="78BB4758" w:rsidR="00327412" w:rsidRPr="00327412" w:rsidRDefault="00327412" w:rsidP="00327412">
            <w:pPr>
              <w:pStyle w:val="Pardeliste"/>
              <w:tabs>
                <w:tab w:val="right" w:pos="7371"/>
              </w:tabs>
            </w:pPr>
            <w:r>
              <w:t xml:space="preserve">En premier lieu l’infirmier devra connaître son patient, sa philosophie de vie, ses valeurs, ses croyances et sa personnalité. Ainsi il pourra fournir des informations sur les adaptations que le patient aurait à faire. Ces adaptations auront pour but de faciliter l’acceptation de la maladie et de maintenir une qualité de vie </w:t>
            </w:r>
            <w:r w:rsidR="00FE7A8C">
              <w:t xml:space="preserve">optimale. Il y a parfois besoin de reformuler les buts et les attentes </w:t>
            </w:r>
            <w:r w:rsidR="00FE7A8C">
              <w:lastRenderedPageBreak/>
              <w:t xml:space="preserve">quant à la vie. Le soignant peut donner des conseils mais il en revient toujours au patient de prendre les décisions. </w:t>
            </w:r>
          </w:p>
        </w:tc>
      </w:tr>
      <w:tr w:rsidR="00EA7229" w14:paraId="17B1EE90" w14:textId="77777777" w:rsidTr="00EA7229">
        <w:tc>
          <w:tcPr>
            <w:tcW w:w="3823" w:type="dxa"/>
          </w:tcPr>
          <w:p w14:paraId="7D0C0257" w14:textId="77777777" w:rsidR="00EA7229" w:rsidRDefault="00EA7229" w:rsidP="00DA061A">
            <w:pPr>
              <w:tabs>
                <w:tab w:val="right" w:pos="7371"/>
              </w:tabs>
            </w:pPr>
          </w:p>
          <w:p w14:paraId="50C2B37A" w14:textId="77777777" w:rsidR="00EA7229" w:rsidRDefault="00EA7229" w:rsidP="00DA061A">
            <w:pPr>
              <w:tabs>
                <w:tab w:val="right" w:pos="7371"/>
              </w:tabs>
            </w:pPr>
            <w:r>
              <w:t>Méthodes d’évaluation et synthèse des études</w:t>
            </w:r>
          </w:p>
          <w:p w14:paraId="586C2111" w14:textId="77777777" w:rsidR="00EA7229" w:rsidRDefault="00EA7229" w:rsidP="00DA061A">
            <w:pPr>
              <w:tabs>
                <w:tab w:val="right" w:pos="7371"/>
              </w:tabs>
            </w:pPr>
          </w:p>
        </w:tc>
        <w:tc>
          <w:tcPr>
            <w:tcW w:w="10737" w:type="dxa"/>
          </w:tcPr>
          <w:p w14:paraId="473D6989" w14:textId="77777777" w:rsidR="00EA7229" w:rsidRDefault="00480D6A" w:rsidP="00DA061A">
            <w:pPr>
              <w:tabs>
                <w:tab w:val="right" w:pos="7371"/>
              </w:tabs>
            </w:pPr>
            <w:r>
              <w:t xml:space="preserve">Les résumés ont été comparés aux critères d’inclusion et d’exclusion et les articles se répétant ont été retirés. </w:t>
            </w:r>
          </w:p>
          <w:p w14:paraId="1A0676E0" w14:textId="77777777" w:rsidR="00772C41" w:rsidRDefault="00772C41" w:rsidP="00DA061A">
            <w:pPr>
              <w:tabs>
                <w:tab w:val="right" w:pos="7371"/>
              </w:tabs>
            </w:pPr>
            <w:r>
              <w:t xml:space="preserve">Les synthèses </w:t>
            </w:r>
            <w:r w:rsidR="008A6515">
              <w:t>ont été effectuées à l’aide du Modèle de santé fonctionnel de Gordon Marjory</w:t>
            </w:r>
            <w:r w:rsidR="002B5893">
              <w:t xml:space="preserve">. Il y en a 11 : </w:t>
            </w:r>
          </w:p>
          <w:p w14:paraId="050B3B82" w14:textId="77777777" w:rsidR="002B5893" w:rsidRPr="002B5893" w:rsidRDefault="00F31DC8" w:rsidP="002B5893">
            <w:pPr>
              <w:numPr>
                <w:ilvl w:val="0"/>
                <w:numId w:val="3"/>
              </w:numPr>
              <w:tabs>
                <w:tab w:val="right" w:pos="7371"/>
              </w:tabs>
              <w:rPr>
                <w:lang w:val="fr-FR"/>
              </w:rPr>
            </w:pPr>
            <w:r>
              <w:rPr>
                <w:lang w:val="fr-FR"/>
              </w:rPr>
              <w:t>P</w:t>
            </w:r>
            <w:r w:rsidR="002B5893" w:rsidRPr="002B5893">
              <w:rPr>
                <w:lang w:val="fr-FR"/>
              </w:rPr>
              <w:t xml:space="preserve">erception et gestion de la santé </w:t>
            </w:r>
            <w:r w:rsidR="002B5893" w:rsidRPr="002B5893">
              <w:rPr>
                <w:rFonts w:ascii="MS Mincho" w:eastAsia="MS Mincho" w:hAnsi="MS Mincho" w:cs="MS Mincho"/>
                <w:lang w:val="fr-FR"/>
              </w:rPr>
              <w:t> </w:t>
            </w:r>
          </w:p>
          <w:p w14:paraId="1AF68C52" w14:textId="77777777" w:rsidR="002B5893" w:rsidRPr="002B5893" w:rsidRDefault="00F31DC8" w:rsidP="002B5893">
            <w:pPr>
              <w:numPr>
                <w:ilvl w:val="0"/>
                <w:numId w:val="3"/>
              </w:numPr>
              <w:tabs>
                <w:tab w:val="right" w:pos="7371"/>
              </w:tabs>
              <w:rPr>
                <w:lang w:val="fr-FR"/>
              </w:rPr>
            </w:pPr>
            <w:r>
              <w:rPr>
                <w:lang w:val="fr-FR"/>
              </w:rPr>
              <w:t>N</w:t>
            </w:r>
            <w:r w:rsidR="002B5893" w:rsidRPr="002B5893">
              <w:rPr>
                <w:lang w:val="fr-FR"/>
              </w:rPr>
              <w:t xml:space="preserve">utrition et métabolisme </w:t>
            </w:r>
            <w:r w:rsidR="002B5893" w:rsidRPr="002B5893">
              <w:rPr>
                <w:rFonts w:ascii="MS Mincho" w:eastAsia="MS Mincho" w:hAnsi="MS Mincho" w:cs="MS Mincho"/>
                <w:lang w:val="fr-FR"/>
              </w:rPr>
              <w:t> </w:t>
            </w:r>
          </w:p>
          <w:p w14:paraId="7F71F210" w14:textId="77777777" w:rsidR="002B5893" w:rsidRPr="002B5893" w:rsidRDefault="00F31DC8" w:rsidP="002B5893">
            <w:pPr>
              <w:numPr>
                <w:ilvl w:val="0"/>
                <w:numId w:val="3"/>
              </w:numPr>
              <w:tabs>
                <w:tab w:val="right" w:pos="7371"/>
              </w:tabs>
              <w:rPr>
                <w:lang w:val="fr-FR"/>
              </w:rPr>
            </w:pPr>
            <w:r>
              <w:rPr>
                <w:lang w:val="fr-FR"/>
              </w:rPr>
              <w:t>E</w:t>
            </w:r>
            <w:r w:rsidR="002B5893" w:rsidRPr="002B5893">
              <w:rPr>
                <w:lang w:val="fr-FR"/>
              </w:rPr>
              <w:t xml:space="preserve">limination </w:t>
            </w:r>
            <w:r w:rsidR="002B5893" w:rsidRPr="002B5893">
              <w:rPr>
                <w:rFonts w:ascii="MS Mincho" w:eastAsia="MS Mincho" w:hAnsi="MS Mincho" w:cs="MS Mincho"/>
                <w:lang w:val="fr-FR"/>
              </w:rPr>
              <w:t> </w:t>
            </w:r>
          </w:p>
          <w:p w14:paraId="51604C91" w14:textId="77777777" w:rsidR="002B5893" w:rsidRPr="002B5893" w:rsidRDefault="00F31DC8" w:rsidP="002B5893">
            <w:pPr>
              <w:numPr>
                <w:ilvl w:val="0"/>
                <w:numId w:val="3"/>
              </w:numPr>
              <w:tabs>
                <w:tab w:val="right" w:pos="7371"/>
              </w:tabs>
              <w:rPr>
                <w:lang w:val="fr-FR"/>
              </w:rPr>
            </w:pPr>
            <w:r>
              <w:rPr>
                <w:lang w:val="fr-FR"/>
              </w:rPr>
              <w:t>A</w:t>
            </w:r>
            <w:r w:rsidR="002B5893" w:rsidRPr="002B5893">
              <w:rPr>
                <w:lang w:val="fr-FR"/>
              </w:rPr>
              <w:t xml:space="preserve">ctivité et exercices </w:t>
            </w:r>
            <w:r w:rsidR="002B5893" w:rsidRPr="002B5893">
              <w:rPr>
                <w:rFonts w:ascii="MS Mincho" w:eastAsia="MS Mincho" w:hAnsi="MS Mincho" w:cs="MS Mincho"/>
                <w:lang w:val="fr-FR"/>
              </w:rPr>
              <w:t> </w:t>
            </w:r>
          </w:p>
          <w:p w14:paraId="76664125" w14:textId="77777777" w:rsidR="002B5893" w:rsidRPr="002B5893" w:rsidRDefault="00F31DC8" w:rsidP="002B5893">
            <w:pPr>
              <w:numPr>
                <w:ilvl w:val="0"/>
                <w:numId w:val="3"/>
              </w:numPr>
              <w:tabs>
                <w:tab w:val="right" w:pos="7371"/>
              </w:tabs>
              <w:rPr>
                <w:lang w:val="fr-FR"/>
              </w:rPr>
            </w:pPr>
            <w:r>
              <w:rPr>
                <w:lang w:val="fr-FR"/>
              </w:rPr>
              <w:t>P</w:t>
            </w:r>
            <w:r w:rsidR="002B5893" w:rsidRPr="002B5893">
              <w:rPr>
                <w:lang w:val="fr-FR"/>
              </w:rPr>
              <w:t xml:space="preserve">rocessus cognitifs et perceptifs </w:t>
            </w:r>
            <w:r w:rsidR="002B5893" w:rsidRPr="002B5893">
              <w:rPr>
                <w:rFonts w:ascii="MS Mincho" w:eastAsia="MS Mincho" w:hAnsi="MS Mincho" w:cs="MS Mincho"/>
                <w:lang w:val="fr-FR"/>
              </w:rPr>
              <w:t> </w:t>
            </w:r>
          </w:p>
          <w:p w14:paraId="4BDE2CEA" w14:textId="77777777" w:rsidR="002B5893" w:rsidRPr="002B5893" w:rsidRDefault="00F31DC8" w:rsidP="002B5893">
            <w:pPr>
              <w:numPr>
                <w:ilvl w:val="0"/>
                <w:numId w:val="3"/>
              </w:numPr>
              <w:tabs>
                <w:tab w:val="right" w:pos="7371"/>
              </w:tabs>
              <w:rPr>
                <w:lang w:val="fr-FR"/>
              </w:rPr>
            </w:pPr>
            <w:r>
              <w:rPr>
                <w:lang w:val="fr-FR"/>
              </w:rPr>
              <w:t>S</w:t>
            </w:r>
            <w:r w:rsidR="002B5893" w:rsidRPr="002B5893">
              <w:rPr>
                <w:lang w:val="fr-FR"/>
              </w:rPr>
              <w:t xml:space="preserve">ommeil et repos </w:t>
            </w:r>
            <w:r w:rsidR="002B5893" w:rsidRPr="002B5893">
              <w:rPr>
                <w:rFonts w:ascii="MS Mincho" w:eastAsia="MS Mincho" w:hAnsi="MS Mincho" w:cs="MS Mincho"/>
                <w:lang w:val="fr-FR"/>
              </w:rPr>
              <w:t> </w:t>
            </w:r>
          </w:p>
          <w:p w14:paraId="256DEC3E" w14:textId="77777777" w:rsidR="002B5893" w:rsidRPr="002B5893" w:rsidRDefault="00F31DC8" w:rsidP="002B5893">
            <w:pPr>
              <w:numPr>
                <w:ilvl w:val="0"/>
                <w:numId w:val="3"/>
              </w:numPr>
              <w:tabs>
                <w:tab w:val="right" w:pos="7371"/>
              </w:tabs>
              <w:rPr>
                <w:lang w:val="fr-FR"/>
              </w:rPr>
            </w:pPr>
            <w:r>
              <w:rPr>
                <w:lang w:val="fr-FR"/>
              </w:rPr>
              <w:t>P</w:t>
            </w:r>
            <w:r w:rsidR="002B5893" w:rsidRPr="002B5893">
              <w:rPr>
                <w:lang w:val="fr-FR"/>
              </w:rPr>
              <w:t xml:space="preserve">erception et conception du moi </w:t>
            </w:r>
            <w:r w:rsidR="002B5893" w:rsidRPr="002B5893">
              <w:rPr>
                <w:rFonts w:ascii="MS Mincho" w:eastAsia="MS Mincho" w:hAnsi="MS Mincho" w:cs="MS Mincho"/>
                <w:lang w:val="fr-FR"/>
              </w:rPr>
              <w:t> </w:t>
            </w:r>
          </w:p>
          <w:p w14:paraId="050CDB32" w14:textId="77777777" w:rsidR="00F31DC8" w:rsidRPr="00F31DC8" w:rsidRDefault="00F31DC8" w:rsidP="00F31DC8">
            <w:pPr>
              <w:numPr>
                <w:ilvl w:val="0"/>
                <w:numId w:val="3"/>
              </w:numPr>
              <w:tabs>
                <w:tab w:val="right" w:pos="7371"/>
              </w:tabs>
              <w:rPr>
                <w:lang w:val="fr-FR"/>
              </w:rPr>
            </w:pPr>
            <w:r>
              <w:rPr>
                <w:lang w:val="fr-FR"/>
              </w:rPr>
              <w:t>R</w:t>
            </w:r>
            <w:r w:rsidR="002B5893" w:rsidRPr="002B5893">
              <w:rPr>
                <w:lang w:val="fr-FR"/>
              </w:rPr>
              <w:t xml:space="preserve">ôles et relations </w:t>
            </w:r>
            <w:r w:rsidR="002B5893" w:rsidRPr="002B5893">
              <w:rPr>
                <w:rFonts w:ascii="MS Mincho" w:eastAsia="MS Mincho" w:hAnsi="MS Mincho" w:cs="MS Mincho"/>
                <w:lang w:val="fr-FR"/>
              </w:rPr>
              <w:t> </w:t>
            </w:r>
          </w:p>
          <w:p w14:paraId="5941CA61" w14:textId="77777777" w:rsidR="002B5893" w:rsidRPr="002B5893" w:rsidRDefault="00F31DC8" w:rsidP="002B5893">
            <w:pPr>
              <w:numPr>
                <w:ilvl w:val="0"/>
                <w:numId w:val="3"/>
              </w:numPr>
              <w:tabs>
                <w:tab w:val="right" w:pos="7371"/>
              </w:tabs>
              <w:rPr>
                <w:lang w:val="fr-FR"/>
              </w:rPr>
            </w:pPr>
            <w:r>
              <w:rPr>
                <w:lang w:val="fr-FR"/>
              </w:rPr>
              <w:t>S</w:t>
            </w:r>
            <w:r w:rsidR="002B5893" w:rsidRPr="002B5893">
              <w:rPr>
                <w:lang w:val="fr-FR"/>
              </w:rPr>
              <w:t xml:space="preserve">exualité et reproduction </w:t>
            </w:r>
            <w:r w:rsidR="002B5893" w:rsidRPr="002B5893">
              <w:rPr>
                <w:rFonts w:ascii="MS Mincho" w:eastAsia="MS Mincho" w:hAnsi="MS Mincho" w:cs="MS Mincho"/>
                <w:lang w:val="fr-FR"/>
              </w:rPr>
              <w:t> </w:t>
            </w:r>
          </w:p>
          <w:p w14:paraId="4BFDD470" w14:textId="77777777" w:rsidR="002B5893" w:rsidRPr="002B5893" w:rsidRDefault="00F31DC8" w:rsidP="002B5893">
            <w:pPr>
              <w:numPr>
                <w:ilvl w:val="0"/>
                <w:numId w:val="3"/>
              </w:numPr>
              <w:tabs>
                <w:tab w:val="right" w:pos="7371"/>
              </w:tabs>
              <w:rPr>
                <w:lang w:val="fr-FR"/>
              </w:rPr>
            </w:pPr>
            <w:r w:rsidRPr="002B5893">
              <w:rPr>
                <w:lang w:val="fr-FR"/>
              </w:rPr>
              <w:t>Adaptation</w:t>
            </w:r>
            <w:r w:rsidR="002B5893" w:rsidRPr="002B5893">
              <w:rPr>
                <w:lang w:val="fr-FR"/>
              </w:rPr>
              <w:t xml:space="preserve"> et tolérance au stress </w:t>
            </w:r>
            <w:r w:rsidR="002B5893" w:rsidRPr="002B5893">
              <w:rPr>
                <w:rFonts w:ascii="MS Mincho" w:eastAsia="MS Mincho" w:hAnsi="MS Mincho" w:cs="MS Mincho"/>
                <w:lang w:val="fr-FR"/>
              </w:rPr>
              <w:t> </w:t>
            </w:r>
          </w:p>
          <w:p w14:paraId="63CBA76C" w14:textId="77777777" w:rsidR="002B5893" w:rsidRPr="002B5893" w:rsidRDefault="00F31DC8" w:rsidP="002B5893">
            <w:pPr>
              <w:numPr>
                <w:ilvl w:val="0"/>
                <w:numId w:val="3"/>
              </w:numPr>
              <w:tabs>
                <w:tab w:val="right" w:pos="7371"/>
              </w:tabs>
              <w:rPr>
                <w:lang w:val="fr-FR"/>
              </w:rPr>
            </w:pPr>
            <w:r w:rsidRPr="002B5893">
              <w:rPr>
                <w:lang w:val="fr-FR"/>
              </w:rPr>
              <w:t>Valeurs</w:t>
            </w:r>
            <w:r w:rsidR="002B5893" w:rsidRPr="002B5893">
              <w:rPr>
                <w:lang w:val="fr-FR"/>
              </w:rPr>
              <w:t xml:space="preserve"> et croyances </w:t>
            </w:r>
            <w:r w:rsidR="002B5893" w:rsidRPr="002B5893">
              <w:rPr>
                <w:rFonts w:ascii="MS Mincho" w:eastAsia="MS Mincho" w:hAnsi="MS Mincho" w:cs="MS Mincho"/>
                <w:lang w:val="fr-FR"/>
              </w:rPr>
              <w:t> </w:t>
            </w:r>
          </w:p>
          <w:p w14:paraId="16E2D92A" w14:textId="77777777" w:rsidR="002B5893" w:rsidRDefault="002B5893" w:rsidP="00DA061A">
            <w:pPr>
              <w:tabs>
                <w:tab w:val="right" w:pos="7371"/>
              </w:tabs>
            </w:pPr>
          </w:p>
        </w:tc>
      </w:tr>
      <w:tr w:rsidR="00EA7229" w14:paraId="1DC9624D" w14:textId="77777777" w:rsidTr="00EA7229">
        <w:tc>
          <w:tcPr>
            <w:tcW w:w="3823" w:type="dxa"/>
          </w:tcPr>
          <w:p w14:paraId="2019B6AC" w14:textId="77777777" w:rsidR="00EA7229" w:rsidRDefault="00EA7229" w:rsidP="00DA061A">
            <w:pPr>
              <w:tabs>
                <w:tab w:val="right" w:pos="7371"/>
              </w:tabs>
            </w:pPr>
          </w:p>
          <w:p w14:paraId="1581AC58" w14:textId="77777777" w:rsidR="00EA7229" w:rsidRDefault="00EA7229" w:rsidP="00DA061A">
            <w:pPr>
              <w:tabs>
                <w:tab w:val="right" w:pos="7371"/>
              </w:tabs>
            </w:pPr>
            <w:r>
              <w:t>Résultats</w:t>
            </w:r>
            <w:r w:rsidR="002B7B2A">
              <w:t xml:space="preserve"> </w:t>
            </w:r>
          </w:p>
          <w:p w14:paraId="2ABD66DD" w14:textId="77777777" w:rsidR="00EA7229" w:rsidRDefault="00EA7229" w:rsidP="00DA061A">
            <w:pPr>
              <w:tabs>
                <w:tab w:val="right" w:pos="7371"/>
              </w:tabs>
            </w:pPr>
          </w:p>
        </w:tc>
        <w:tc>
          <w:tcPr>
            <w:tcW w:w="10737" w:type="dxa"/>
          </w:tcPr>
          <w:p w14:paraId="3F1FFD48" w14:textId="7B0B578B" w:rsidR="003C3209" w:rsidRDefault="003C3209" w:rsidP="003C3209">
            <w:pPr>
              <w:tabs>
                <w:tab w:val="right" w:pos="7371"/>
              </w:tabs>
            </w:pPr>
            <w:r>
              <w:t xml:space="preserve">Les résultats se retrouvent dans la partie « interventions ». </w:t>
            </w:r>
          </w:p>
          <w:p w14:paraId="67EA2CE6" w14:textId="4D6F3C0D" w:rsidR="003D0EB6" w:rsidRDefault="003D0EB6" w:rsidP="00DA061A">
            <w:pPr>
              <w:tabs>
                <w:tab w:val="right" w:pos="7371"/>
              </w:tabs>
            </w:pPr>
            <w:r>
              <w:t xml:space="preserve"> </w:t>
            </w:r>
          </w:p>
        </w:tc>
      </w:tr>
      <w:tr w:rsidR="00EA7229" w14:paraId="6CA7B267" w14:textId="77777777" w:rsidTr="00EA7229">
        <w:tc>
          <w:tcPr>
            <w:tcW w:w="3823" w:type="dxa"/>
          </w:tcPr>
          <w:p w14:paraId="51CCE948" w14:textId="77777777" w:rsidR="00EA7229" w:rsidRDefault="00EA7229" w:rsidP="00DA061A">
            <w:pPr>
              <w:tabs>
                <w:tab w:val="right" w:pos="7371"/>
              </w:tabs>
            </w:pPr>
          </w:p>
          <w:p w14:paraId="3D1E49AC" w14:textId="77777777" w:rsidR="00EA7229" w:rsidRDefault="00EA7229" w:rsidP="00DA061A">
            <w:pPr>
              <w:tabs>
                <w:tab w:val="right" w:pos="7371"/>
              </w:tabs>
            </w:pPr>
            <w:r>
              <w:t>Limites</w:t>
            </w:r>
          </w:p>
          <w:p w14:paraId="4DFD0F25" w14:textId="77777777" w:rsidR="00EA7229" w:rsidRDefault="00EA7229" w:rsidP="00DA061A">
            <w:pPr>
              <w:tabs>
                <w:tab w:val="right" w:pos="7371"/>
              </w:tabs>
            </w:pPr>
          </w:p>
        </w:tc>
        <w:tc>
          <w:tcPr>
            <w:tcW w:w="10737" w:type="dxa"/>
          </w:tcPr>
          <w:p w14:paraId="003AD91C" w14:textId="77777777" w:rsidR="00EA7229" w:rsidRDefault="00EA7229" w:rsidP="00DA061A">
            <w:pPr>
              <w:tabs>
                <w:tab w:val="right" w:pos="7371"/>
              </w:tabs>
            </w:pPr>
          </w:p>
        </w:tc>
      </w:tr>
      <w:tr w:rsidR="00EA7229" w14:paraId="701B79CC" w14:textId="77777777" w:rsidTr="00EA7229">
        <w:tc>
          <w:tcPr>
            <w:tcW w:w="3823" w:type="dxa"/>
          </w:tcPr>
          <w:p w14:paraId="78741233" w14:textId="77777777" w:rsidR="00EA7229" w:rsidRDefault="00EA7229" w:rsidP="00DA061A">
            <w:pPr>
              <w:tabs>
                <w:tab w:val="right" w:pos="7371"/>
              </w:tabs>
            </w:pPr>
          </w:p>
          <w:p w14:paraId="17EB35A0" w14:textId="77777777" w:rsidR="00EA7229" w:rsidRDefault="00EA7229" w:rsidP="00DA061A">
            <w:pPr>
              <w:tabs>
                <w:tab w:val="right" w:pos="7371"/>
              </w:tabs>
            </w:pPr>
            <w:r>
              <w:t>Impacts des résultats</w:t>
            </w:r>
          </w:p>
          <w:p w14:paraId="357501C9" w14:textId="77777777" w:rsidR="00EA7229" w:rsidRDefault="00EA7229" w:rsidP="00DA061A">
            <w:pPr>
              <w:tabs>
                <w:tab w:val="right" w:pos="7371"/>
              </w:tabs>
            </w:pPr>
          </w:p>
        </w:tc>
        <w:tc>
          <w:tcPr>
            <w:tcW w:w="10737" w:type="dxa"/>
          </w:tcPr>
          <w:p w14:paraId="64D23A82" w14:textId="68786A4E" w:rsidR="00EA7229" w:rsidRDefault="00FE7A8C" w:rsidP="00DA061A">
            <w:pPr>
              <w:tabs>
                <w:tab w:val="right" w:pos="7371"/>
              </w:tabs>
            </w:pPr>
            <w:r>
              <w:t xml:space="preserve">Les impacts recherchés ont pour but de favoriser le bien-être du patient ainsi que d’augmenter sa qualité de vie quotidienne. L’infirmier est là pour conseiller le patient et c’est à celui-ci de faire le travail que lui trouve le plus adapté dans sa situation et de faire également confiance au soignant. </w:t>
            </w:r>
          </w:p>
        </w:tc>
      </w:tr>
      <w:tr w:rsidR="00EA7229" w14:paraId="58D6495B" w14:textId="77777777" w:rsidTr="00EA7229">
        <w:tc>
          <w:tcPr>
            <w:tcW w:w="3823" w:type="dxa"/>
          </w:tcPr>
          <w:p w14:paraId="691C6884" w14:textId="77777777" w:rsidR="00EA7229" w:rsidRDefault="00EA7229" w:rsidP="00DA061A">
            <w:pPr>
              <w:tabs>
                <w:tab w:val="right" w:pos="7371"/>
              </w:tabs>
            </w:pPr>
          </w:p>
          <w:p w14:paraId="01E26EE4" w14:textId="77777777" w:rsidR="00EA7229" w:rsidRDefault="00EA7229" w:rsidP="00DA061A">
            <w:pPr>
              <w:tabs>
                <w:tab w:val="right" w:pos="7371"/>
              </w:tabs>
            </w:pPr>
            <w:r>
              <w:t>Conclusion</w:t>
            </w:r>
          </w:p>
          <w:p w14:paraId="66C4D99F" w14:textId="77777777" w:rsidR="00EA7229" w:rsidRDefault="00EA7229" w:rsidP="00DA061A">
            <w:pPr>
              <w:tabs>
                <w:tab w:val="right" w:pos="7371"/>
              </w:tabs>
            </w:pPr>
          </w:p>
        </w:tc>
        <w:tc>
          <w:tcPr>
            <w:tcW w:w="10737" w:type="dxa"/>
          </w:tcPr>
          <w:p w14:paraId="7EDE1FAB" w14:textId="77777777" w:rsidR="00EA7229" w:rsidRDefault="00FE7A8C" w:rsidP="00DA061A">
            <w:pPr>
              <w:tabs>
                <w:tab w:val="right" w:pos="7371"/>
              </w:tabs>
            </w:pPr>
            <w:r>
              <w:t>La SEP est caractérisée comme une maladie chronique, dégénérative et auto-immune du système neurologique. C’est une pathologie imprévisible et l’évolution implique une surveillance par une équipe multidisciplinaire axée sur le patient, de ses besoins et ceux de la famille. Le diagnostic est établi lors de l’âge du jeune adulte et la maladie va l’accompagner tout le long de sa vie. Les interventions visent à la gestion des symptômes de la maladie et de maintenir les capacités fonctionnelles du patient. La présence de cette maladie peut conduire à divers degrés d’invalidité qui baisseront la qualité de vie du patient mais aussi celui de la famille</w:t>
            </w:r>
            <w:r w:rsidR="009A1C9B">
              <w:t xml:space="preserve"> et ces deux vont être confrontés à différentes exigences en lien avec la résilience, les attentes et la culture. </w:t>
            </w:r>
          </w:p>
          <w:p w14:paraId="28DD9CD4" w14:textId="5FA71CD0" w:rsidR="009A1C9B" w:rsidRDefault="009A1C9B" w:rsidP="00DA061A">
            <w:pPr>
              <w:tabs>
                <w:tab w:val="right" w:pos="7371"/>
              </w:tabs>
            </w:pPr>
            <w:r>
              <w:t xml:space="preserve">Cette revue de littérature intégrative a permis de répondre à la question de recherche. Il existe des preuves disponibles dans la pratique pour mettre en œuvre les interventions décrites et organisées par le modèle de Marjory Gordon. Pour les interventions. Il est suggéré de concevoir des programmes pour évaluer les interventions infirmières. </w:t>
            </w:r>
          </w:p>
        </w:tc>
      </w:tr>
      <w:tr w:rsidR="00EA7229" w14:paraId="4E94DB9F" w14:textId="77777777" w:rsidTr="00E862C3">
        <w:tc>
          <w:tcPr>
            <w:tcW w:w="3823" w:type="dxa"/>
            <w:shd w:val="clear" w:color="auto" w:fill="F2F2F2" w:themeFill="background1" w:themeFillShade="F2"/>
          </w:tcPr>
          <w:p w14:paraId="2FC907D1" w14:textId="77777777" w:rsidR="00EA7229" w:rsidRDefault="00EA7229" w:rsidP="00DA061A">
            <w:pPr>
              <w:tabs>
                <w:tab w:val="right" w:pos="7371"/>
              </w:tabs>
            </w:pPr>
          </w:p>
          <w:p w14:paraId="4E3DBC02" w14:textId="77777777" w:rsidR="00EA7229" w:rsidRDefault="00EA7229" w:rsidP="00DA061A">
            <w:pPr>
              <w:tabs>
                <w:tab w:val="right" w:pos="7371"/>
              </w:tabs>
            </w:pPr>
            <w:r>
              <w:t>Implication pour le projet</w:t>
            </w:r>
          </w:p>
          <w:p w14:paraId="316285D3" w14:textId="77777777" w:rsidR="00EA7229" w:rsidRDefault="00EA7229" w:rsidP="00DA061A">
            <w:pPr>
              <w:tabs>
                <w:tab w:val="right" w:pos="7371"/>
              </w:tabs>
            </w:pPr>
          </w:p>
        </w:tc>
        <w:tc>
          <w:tcPr>
            <w:tcW w:w="10737" w:type="dxa"/>
            <w:shd w:val="clear" w:color="auto" w:fill="F2F2F2" w:themeFill="background1" w:themeFillShade="F2"/>
          </w:tcPr>
          <w:p w14:paraId="1BB4D99B" w14:textId="39795CA6" w:rsidR="00EA7229" w:rsidRDefault="009A1C9B" w:rsidP="00DA061A">
            <w:pPr>
              <w:tabs>
                <w:tab w:val="right" w:pos="7371"/>
              </w:tabs>
            </w:pPr>
            <w:r>
              <w:t>Cet article est utile dans le produit élaboré par le groupe car il donne des interventions concrètes quant aux besoin</w:t>
            </w:r>
            <w:r w:rsidR="001A626A">
              <w:t>s</w:t>
            </w:r>
            <w:r>
              <w:t xml:space="preserve"> de la SEP. Les interventions sont recensées à l’aide du modèle fonctionnel de Morjory Gordon qui se rapporte à la perception qu’a le patient de sa santé ainsi que de son bien-être et qu’aux moyens qu’il met en œuvre pour s’</w:t>
            </w:r>
            <w:r w:rsidR="0069725B">
              <w:t>occuper de son</w:t>
            </w:r>
            <w:r>
              <w:t xml:space="preserve"> bien-être. </w:t>
            </w:r>
          </w:p>
          <w:p w14:paraId="4AC9E604" w14:textId="77777777" w:rsidR="00214AAC" w:rsidRDefault="009A1C9B" w:rsidP="00455F48">
            <w:pPr>
              <w:tabs>
                <w:tab w:val="right" w:pos="7371"/>
              </w:tabs>
            </w:pPr>
            <w:r>
              <w:lastRenderedPageBreak/>
              <w:t xml:space="preserve">L’infirmière qui aura notre brochure entre les mains aura des arguments et des interventions concrètes à suggérer au patient lorsque ce dernier ne les aura peut-être pas </w:t>
            </w:r>
            <w:r w:rsidR="002F3F3F">
              <w:t>trouvés</w:t>
            </w:r>
            <w:r>
              <w:t xml:space="preserve"> seul. </w:t>
            </w:r>
          </w:p>
          <w:p w14:paraId="1F3573F2" w14:textId="153CF330" w:rsidR="007B4D27" w:rsidRDefault="007B4D27" w:rsidP="00455F48">
            <w:pPr>
              <w:tabs>
                <w:tab w:val="right" w:pos="7371"/>
              </w:tabs>
            </w:pPr>
            <w:r>
              <w:t xml:space="preserve">Les interventions utiles pour le patient seraient : </w:t>
            </w:r>
          </w:p>
          <w:p w14:paraId="5106F8E8" w14:textId="36B709D9" w:rsidR="00214AAC" w:rsidRPr="007B4D27" w:rsidRDefault="007B4D27" w:rsidP="007B4D27">
            <w:pPr>
              <w:pStyle w:val="Pardeliste"/>
              <w:numPr>
                <w:ilvl w:val="0"/>
                <w:numId w:val="2"/>
              </w:numPr>
              <w:tabs>
                <w:tab w:val="right" w:pos="7371"/>
              </w:tabs>
            </w:pPr>
            <w:r w:rsidRPr="007B4D27">
              <w:t>U</w:t>
            </w:r>
            <w:r w:rsidR="00C70A52" w:rsidRPr="007B4D27">
              <w:t>ne alimentation équilibrée et variée afin de couvrir ses besoins nutritionnels</w:t>
            </w:r>
            <w:r w:rsidRPr="007B4D27">
              <w:t xml:space="preserve"> et éviter les carences (vitamines par exemple)</w:t>
            </w:r>
            <w:r w:rsidR="004B0E0C">
              <w:t xml:space="preserve"> (</w:t>
            </w:r>
            <w:r w:rsidR="004B0E0C">
              <w:rPr>
                <w:i/>
              </w:rPr>
              <w:t>nutrition</w:t>
            </w:r>
            <w:r w:rsidR="004B0E0C">
              <w:t>)</w:t>
            </w:r>
          </w:p>
          <w:p w14:paraId="23D9A62C" w14:textId="041C18BB" w:rsidR="00B95EC7" w:rsidRDefault="00B95EC7" w:rsidP="00B95EC7">
            <w:pPr>
              <w:pStyle w:val="Pardeliste"/>
              <w:numPr>
                <w:ilvl w:val="0"/>
                <w:numId w:val="2"/>
              </w:numPr>
              <w:tabs>
                <w:tab w:val="right" w:pos="7371"/>
              </w:tabs>
            </w:pPr>
            <w:r>
              <w:t xml:space="preserve">Il faut savoir ce que le patient sait déjà de la pathologie ainsi que ses perceptions sur la maladie et les thérapies autour. Une éducation thérapeutique visera à augmenter le bien-être. </w:t>
            </w:r>
            <w:r w:rsidR="004B0E0C">
              <w:t>(</w:t>
            </w:r>
            <w:r w:rsidR="004B0E0C">
              <w:rPr>
                <w:i/>
              </w:rPr>
              <w:t>perception et gestion de santé</w:t>
            </w:r>
            <w:r w:rsidR="004B0E0C">
              <w:t>)</w:t>
            </w:r>
          </w:p>
          <w:p w14:paraId="107FA30E" w14:textId="20C82B51" w:rsidR="00926B43" w:rsidRPr="00926B43" w:rsidRDefault="00926B43" w:rsidP="00926B43">
            <w:pPr>
              <w:pStyle w:val="Pardeliste"/>
              <w:numPr>
                <w:ilvl w:val="0"/>
                <w:numId w:val="2"/>
              </w:numPr>
              <w:tabs>
                <w:tab w:val="right" w:pos="7371"/>
              </w:tabs>
            </w:pPr>
            <w:r>
              <w:t>Il faut mettre en place des listes ou des rappels (tels que les alarmes sur les téléphones) afin que le patient puisse toujours maintenir des activités. Pour augmenter les capacités cognitives il est important de planifier des interventions en lien avec l’état de fatigue.</w:t>
            </w:r>
            <w:r>
              <w:t xml:space="preserve"> (</w:t>
            </w:r>
            <w:r>
              <w:rPr>
                <w:i/>
              </w:rPr>
              <w:t>processus cognitifs et perceptifs</w:t>
            </w:r>
            <w:r>
              <w:t>)</w:t>
            </w:r>
          </w:p>
          <w:p w14:paraId="190E9D26" w14:textId="6E729F34" w:rsidR="00C70A52" w:rsidRDefault="00A81EB9" w:rsidP="007B4D27">
            <w:pPr>
              <w:pStyle w:val="Pardeliste"/>
              <w:numPr>
                <w:ilvl w:val="0"/>
                <w:numId w:val="2"/>
              </w:numPr>
              <w:tabs>
                <w:tab w:val="right" w:pos="7371"/>
              </w:tabs>
            </w:pPr>
            <w:r>
              <w:t>L’activité physique consiste à avoir des marches régulières durant de 10 à 50 minutes. Si le patient se fatigue trop vite, il devra organiser des pauses et boire des liquides afin de récupérer et pouvoir continuer.</w:t>
            </w:r>
            <w:r>
              <w:t xml:space="preserve"> (</w:t>
            </w:r>
            <w:r>
              <w:rPr>
                <w:i/>
              </w:rPr>
              <w:t>activités et exercices physiques</w:t>
            </w:r>
            <w:r>
              <w:t>)</w:t>
            </w:r>
          </w:p>
          <w:p w14:paraId="3E528939" w14:textId="644AA6D2" w:rsidR="00A81EB9" w:rsidRDefault="00A81EB9" w:rsidP="007B4D27">
            <w:pPr>
              <w:pStyle w:val="Pardeliste"/>
              <w:numPr>
                <w:ilvl w:val="0"/>
                <w:numId w:val="2"/>
              </w:numPr>
              <w:tabs>
                <w:tab w:val="right" w:pos="7371"/>
              </w:tabs>
            </w:pPr>
            <w:r>
              <w:t>Il faut pour un adulte 7-8 heures de sommeil. Dans le cas de la SEP, il est important de varier les périodes de travail avec les périodes de repos.</w:t>
            </w:r>
            <w:r>
              <w:t xml:space="preserve"> (</w:t>
            </w:r>
            <w:r>
              <w:rPr>
                <w:i/>
              </w:rPr>
              <w:t>sommeil et repos</w:t>
            </w:r>
            <w:r>
              <w:t>)</w:t>
            </w:r>
          </w:p>
          <w:p w14:paraId="04097425" w14:textId="061EE11C" w:rsidR="00381FCF" w:rsidRDefault="004F72E0" w:rsidP="007B4D27">
            <w:pPr>
              <w:pStyle w:val="Pardeliste"/>
              <w:numPr>
                <w:ilvl w:val="0"/>
                <w:numId w:val="2"/>
              </w:numPr>
              <w:tabs>
                <w:tab w:val="right" w:pos="7371"/>
              </w:tabs>
            </w:pPr>
            <w:r>
              <w:t>En premier lieu l’infirmier devra connaître son patient, sa philosophie de vie, ses valeurs, ses croyances et sa personnalité. Ainsi il pourra fournir des informations sur les adaptations que le patient aurait à faire. Ces adaptations auront pour but de faciliter l’acceptation de la maladie et de maintenir une qualité de vie optimale</w:t>
            </w:r>
            <w:r>
              <w:t>. (</w:t>
            </w:r>
            <w:r>
              <w:rPr>
                <w:i/>
              </w:rPr>
              <w:t>valeurs et croyances</w:t>
            </w:r>
            <w:r>
              <w:t>)</w:t>
            </w:r>
          </w:p>
          <w:p w14:paraId="1358071D" w14:textId="7A2D3C11" w:rsidR="004F72E0" w:rsidRDefault="004F72E0" w:rsidP="004F72E0">
            <w:pPr>
              <w:pStyle w:val="Pardeliste"/>
              <w:numPr>
                <w:ilvl w:val="0"/>
                <w:numId w:val="2"/>
              </w:numPr>
              <w:tabs>
                <w:tab w:val="right" w:pos="7371"/>
              </w:tabs>
            </w:pPr>
            <w:r>
              <w:t xml:space="preserve">Le patient devrait être instruit aux techniques de relaxation à utiliser en périodes de stress ou de fatigue (techniques de respirations, relaxations des MI et MS). Le patient en cas de dépendance peut avoir une personne avec lui qui va l‘aider dans ses tâches mais le patient sera toujours acteur et sera encouragé à effectuer des exercices seul. </w:t>
            </w:r>
            <w:r>
              <w:t>(</w:t>
            </w:r>
            <w:r>
              <w:rPr>
                <w:i/>
              </w:rPr>
              <w:t>adaptation et tolérance au stress</w:t>
            </w:r>
            <w:r>
              <w:t>)</w:t>
            </w:r>
          </w:p>
          <w:p w14:paraId="69AEA7E4" w14:textId="682F0E9B" w:rsidR="004F72E0" w:rsidRPr="007B4D27" w:rsidRDefault="004F72E0" w:rsidP="007B4D27">
            <w:pPr>
              <w:pStyle w:val="Pardeliste"/>
              <w:numPr>
                <w:ilvl w:val="0"/>
                <w:numId w:val="2"/>
              </w:numPr>
              <w:tabs>
                <w:tab w:val="right" w:pos="7371"/>
              </w:tabs>
            </w:pPr>
            <w:r>
              <w:t>Le patient ainsi que la famille sont encouragés à verbaliser leurs pensées, leurs émotions et sont encouragés à trouver des solutions afin d’augmenter leurs relations avec la famille et également avec les amis.</w:t>
            </w:r>
            <w:r>
              <w:t xml:space="preserve"> (</w:t>
            </w:r>
            <w:r>
              <w:rPr>
                <w:i/>
              </w:rPr>
              <w:t>rôle et relations</w:t>
            </w:r>
            <w:bookmarkStart w:id="0" w:name="_GoBack"/>
            <w:bookmarkEnd w:id="0"/>
            <w:r>
              <w:t>)</w:t>
            </w:r>
          </w:p>
          <w:p w14:paraId="2BB4B51D" w14:textId="3E8A0C4F" w:rsidR="009A1C9B" w:rsidRDefault="009A1C9B" w:rsidP="00455F48">
            <w:pPr>
              <w:tabs>
                <w:tab w:val="right" w:pos="7371"/>
              </w:tabs>
            </w:pPr>
            <w:r>
              <w:t xml:space="preserve">Ces interventions sont applicables rapidement et ne nécessitent pas </w:t>
            </w:r>
            <w:r w:rsidR="00455F48">
              <w:t xml:space="preserve">une connaissance poussée quant à la santé. Cependant, le patient est toujours autorisé à questionner le soignant afin de connaître les bénéfices de certaines informations et l’infirmier doit travailler sur les connaissances déjà acquises. </w:t>
            </w:r>
          </w:p>
        </w:tc>
      </w:tr>
      <w:tr w:rsidR="00455F48" w14:paraId="014DFF6A" w14:textId="77777777" w:rsidTr="00E862C3">
        <w:tc>
          <w:tcPr>
            <w:tcW w:w="3823" w:type="dxa"/>
            <w:shd w:val="clear" w:color="auto" w:fill="F2F2F2" w:themeFill="background1" w:themeFillShade="F2"/>
          </w:tcPr>
          <w:p w14:paraId="25BBB4A4" w14:textId="60AF7CBD" w:rsidR="00455F48" w:rsidRDefault="00455F48" w:rsidP="00DA061A">
            <w:pPr>
              <w:tabs>
                <w:tab w:val="right" w:pos="7371"/>
              </w:tabs>
            </w:pPr>
          </w:p>
        </w:tc>
        <w:tc>
          <w:tcPr>
            <w:tcW w:w="10737" w:type="dxa"/>
            <w:shd w:val="clear" w:color="auto" w:fill="F2F2F2" w:themeFill="background1" w:themeFillShade="F2"/>
          </w:tcPr>
          <w:p w14:paraId="2D0DB10D" w14:textId="77777777" w:rsidR="00455F48" w:rsidRDefault="00455F48" w:rsidP="00DA061A">
            <w:pPr>
              <w:tabs>
                <w:tab w:val="right" w:pos="7371"/>
              </w:tabs>
            </w:pPr>
          </w:p>
        </w:tc>
      </w:tr>
    </w:tbl>
    <w:p w14:paraId="3FBA448B" w14:textId="77777777" w:rsidR="00EA7229" w:rsidRDefault="00EA7229" w:rsidP="00DA061A">
      <w:pPr>
        <w:tabs>
          <w:tab w:val="right" w:pos="7371"/>
        </w:tabs>
        <w:rPr>
          <w:szCs w:val="20"/>
        </w:rPr>
      </w:pPr>
    </w:p>
    <w:p w14:paraId="67E463E8" w14:textId="77777777" w:rsidR="00501F17" w:rsidRPr="00CA09D5" w:rsidRDefault="00501F17" w:rsidP="00CA09D5">
      <w:pPr>
        <w:tabs>
          <w:tab w:val="right" w:pos="7371"/>
        </w:tabs>
      </w:pPr>
    </w:p>
    <w:p w14:paraId="3FD9AC33" w14:textId="77777777" w:rsidR="00CA09D5" w:rsidRDefault="00CA09D5" w:rsidP="00CA09D5">
      <w:pPr>
        <w:tabs>
          <w:tab w:val="right" w:pos="7371"/>
        </w:tabs>
      </w:pPr>
      <w:r w:rsidRPr="00CA09D5">
        <w:rPr>
          <w:b/>
        </w:rPr>
        <w:t>Références</w:t>
      </w:r>
      <w:r>
        <w:t xml:space="preserve"> : </w:t>
      </w:r>
    </w:p>
    <w:p w14:paraId="1CAFF01B" w14:textId="77777777" w:rsidR="00CA09D5" w:rsidRDefault="00CA09D5" w:rsidP="00CA09D5">
      <w:pPr>
        <w:tabs>
          <w:tab w:val="right" w:pos="7371"/>
        </w:tabs>
      </w:pPr>
    </w:p>
    <w:p w14:paraId="249AEB8A" w14:textId="77777777" w:rsidR="00CA09D5" w:rsidRPr="00CA09D5" w:rsidRDefault="00CA09D5" w:rsidP="00CA09D5">
      <w:pPr>
        <w:tabs>
          <w:tab w:val="right" w:pos="7371"/>
        </w:tabs>
        <w:ind w:left="567" w:hanging="567"/>
        <w:rPr>
          <w:rFonts w:cs="Arial"/>
          <w:szCs w:val="20"/>
        </w:rPr>
      </w:pPr>
      <w:r w:rsidRPr="00CA09D5">
        <w:rPr>
          <w:rFonts w:cs="Arial"/>
          <w:color w:val="auto"/>
          <w:szCs w:val="20"/>
        </w:rPr>
        <w:t xml:space="preserve">Gedda, M. (2015). Traduction française des lignes directrices PRISMA pour l’écriture et la lecture des revues systématiques et des méta-analyses. </w:t>
      </w:r>
      <w:r w:rsidRPr="00CA09D5">
        <w:rPr>
          <w:rFonts w:cs="Arial"/>
          <w:i/>
          <w:iCs/>
          <w:color w:val="auto"/>
          <w:szCs w:val="20"/>
        </w:rPr>
        <w:t xml:space="preserve">Kinésithérapie, la Revue, </w:t>
      </w:r>
      <w:r w:rsidRPr="001F55C9">
        <w:rPr>
          <w:rFonts w:cs="Arial"/>
          <w:i/>
          <w:iCs/>
          <w:color w:val="auto"/>
          <w:szCs w:val="20"/>
        </w:rPr>
        <w:t>15</w:t>
      </w:r>
      <w:r w:rsidR="001F55C9" w:rsidRPr="001F55C9">
        <w:rPr>
          <w:rFonts w:cs="Arial"/>
          <w:i/>
          <w:iCs/>
          <w:color w:val="auto"/>
          <w:szCs w:val="20"/>
        </w:rPr>
        <w:t xml:space="preserve"> (</w:t>
      </w:r>
      <w:r w:rsidRPr="001F55C9">
        <w:rPr>
          <w:rFonts w:cs="Arial"/>
          <w:i/>
          <w:color w:val="auto"/>
          <w:szCs w:val="20"/>
        </w:rPr>
        <w:t>157),</w:t>
      </w:r>
      <w:r w:rsidRPr="00CA09D5">
        <w:rPr>
          <w:rFonts w:cs="Arial"/>
          <w:color w:val="auto"/>
          <w:szCs w:val="20"/>
        </w:rPr>
        <w:t xml:space="preserve"> 39-44. doi : https://doi.org/10.1016/j.kine.2014.11.004</w:t>
      </w:r>
    </w:p>
    <w:p w14:paraId="664ADBA8" w14:textId="77777777" w:rsidR="00501F17" w:rsidRPr="00CA09D5" w:rsidRDefault="00501F17" w:rsidP="00DA061A">
      <w:pPr>
        <w:tabs>
          <w:tab w:val="right" w:pos="7371"/>
        </w:tabs>
        <w:rPr>
          <w:rFonts w:cs="Arial"/>
          <w:szCs w:val="20"/>
        </w:rPr>
      </w:pPr>
    </w:p>
    <w:p w14:paraId="60D9A3A8" w14:textId="77777777" w:rsidR="00EA7229" w:rsidRPr="00CA09D5" w:rsidRDefault="00CA09D5" w:rsidP="00DA061A">
      <w:pPr>
        <w:tabs>
          <w:tab w:val="right" w:pos="7371"/>
        </w:tabs>
        <w:rPr>
          <w:rFonts w:cs="Arial"/>
          <w:szCs w:val="20"/>
        </w:rPr>
      </w:pPr>
      <w:r w:rsidRPr="00CA09D5">
        <w:rPr>
          <w:rFonts w:cs="Arial"/>
          <w:szCs w:val="20"/>
        </w:rPr>
        <w:lastRenderedPageBreak/>
        <w:t xml:space="preserve">Adaptée par </w:t>
      </w:r>
      <w:r w:rsidR="008F09BC" w:rsidRPr="00CA09D5">
        <w:rPr>
          <w:rFonts w:cs="Arial"/>
          <w:szCs w:val="20"/>
        </w:rPr>
        <w:t>ESP/</w:t>
      </w:r>
      <w:r>
        <w:rPr>
          <w:rFonts w:cs="Arial"/>
          <w:szCs w:val="20"/>
        </w:rPr>
        <w:t>octobre 2017/semestre5/Bachelor</w:t>
      </w:r>
      <w:r w:rsidR="00A22DFE">
        <w:rPr>
          <w:rFonts w:cs="Arial"/>
          <w:szCs w:val="20"/>
        </w:rPr>
        <w:t>2016</w:t>
      </w:r>
      <w:r w:rsidR="008F09BC" w:rsidRPr="00CA09D5">
        <w:rPr>
          <w:rFonts w:cs="Arial"/>
          <w:szCs w:val="20"/>
        </w:rPr>
        <w:t>/</w:t>
      </w:r>
    </w:p>
    <w:p w14:paraId="186845E4" w14:textId="77777777" w:rsidR="00EA7229" w:rsidRPr="00CA09D5" w:rsidRDefault="00EA7229" w:rsidP="00DA061A">
      <w:pPr>
        <w:tabs>
          <w:tab w:val="right" w:pos="7371"/>
        </w:tabs>
        <w:rPr>
          <w:rFonts w:cs="Arial"/>
          <w:szCs w:val="20"/>
        </w:rPr>
      </w:pPr>
    </w:p>
    <w:sectPr w:rsidR="00EA7229" w:rsidRPr="00CA09D5" w:rsidSect="00DB1327">
      <w:footerReference w:type="default" r:id="rId15"/>
      <w:pgSz w:w="16838" w:h="11906" w:orient="landscape" w:code="9"/>
      <w:pgMar w:top="1134" w:right="1134" w:bottom="1134" w:left="1134" w:header="1418" w:footer="54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C29A667" w14:textId="77777777" w:rsidR="00031ABF" w:rsidRDefault="00031ABF" w:rsidP="00B05AEA">
      <w:r>
        <w:separator/>
      </w:r>
    </w:p>
  </w:endnote>
  <w:endnote w:type="continuationSeparator" w:id="0">
    <w:p w14:paraId="224B78E9" w14:textId="77777777" w:rsidR="00031ABF" w:rsidRDefault="00031ABF" w:rsidP="00B0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428623"/>
      <w:docPartObj>
        <w:docPartGallery w:val="Page Numbers (Bottom of Page)"/>
        <w:docPartUnique/>
      </w:docPartObj>
    </w:sdtPr>
    <w:sdtEndPr/>
    <w:sdtContent>
      <w:p w14:paraId="6C7AC0DC" w14:textId="0C40729D" w:rsidR="004A0CB0" w:rsidRDefault="004A0CB0" w:rsidP="004A0CB0">
        <w:pPr>
          <w:pStyle w:val="Pieddepage"/>
          <w:jc w:val="right"/>
        </w:pPr>
        <w:r>
          <w:fldChar w:fldCharType="begin"/>
        </w:r>
        <w:r>
          <w:instrText>PAGE   \* MERGEFORMAT</w:instrText>
        </w:r>
        <w:r>
          <w:fldChar w:fldCharType="separate"/>
        </w:r>
        <w:r w:rsidR="004F72E0" w:rsidRPr="004F72E0">
          <w:rPr>
            <w:noProof/>
            <w:lang w:val="fr-FR"/>
          </w:rPr>
          <w:t>3</w:t>
        </w:r>
        <w:r>
          <w:fldChar w:fldCharType="end"/>
        </w:r>
      </w:p>
    </w:sdtContent>
  </w:sdt>
  <w:p w14:paraId="3C45ADEF" w14:textId="77777777" w:rsidR="001609CA" w:rsidRPr="004A0CB0" w:rsidRDefault="001609CA" w:rsidP="004A0CB0">
    <w:pPr>
      <w:pStyle w:val="Pieddepage"/>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4E9BB23" w14:textId="77777777" w:rsidR="00031ABF" w:rsidRDefault="00031ABF" w:rsidP="00B05AEA">
      <w:r>
        <w:separator/>
      </w:r>
    </w:p>
  </w:footnote>
  <w:footnote w:type="continuationSeparator" w:id="0">
    <w:p w14:paraId="4E595575" w14:textId="77777777" w:rsidR="00031ABF" w:rsidRDefault="00031ABF" w:rsidP="00B05A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D010F3"/>
    <w:multiLevelType w:val="hybridMultilevel"/>
    <w:tmpl w:val="D42AD254"/>
    <w:lvl w:ilvl="0" w:tplc="1BDAC75E">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6621413E"/>
    <w:multiLevelType w:val="hybridMultilevel"/>
    <w:tmpl w:val="E55A6C9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68611713"/>
    <w:multiLevelType w:val="hybridMultilevel"/>
    <w:tmpl w:val="726C190E"/>
    <w:lvl w:ilvl="0" w:tplc="7DF0ED18">
      <w:start w:val="7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50"/>
    <w:rsid w:val="0003139D"/>
    <w:rsid w:val="00031ABF"/>
    <w:rsid w:val="00076D8F"/>
    <w:rsid w:val="000A4492"/>
    <w:rsid w:val="000D68EC"/>
    <w:rsid w:val="000F1EC0"/>
    <w:rsid w:val="0013316A"/>
    <w:rsid w:val="00135D19"/>
    <w:rsid w:val="001609CA"/>
    <w:rsid w:val="00175117"/>
    <w:rsid w:val="00190F27"/>
    <w:rsid w:val="001A626A"/>
    <w:rsid w:val="001F55C9"/>
    <w:rsid w:val="00214AAC"/>
    <w:rsid w:val="0024286C"/>
    <w:rsid w:val="00252B29"/>
    <w:rsid w:val="0026266C"/>
    <w:rsid w:val="002B5893"/>
    <w:rsid w:val="002B7B2A"/>
    <w:rsid w:val="002E4D56"/>
    <w:rsid w:val="002F3F3F"/>
    <w:rsid w:val="003177B7"/>
    <w:rsid w:val="00327412"/>
    <w:rsid w:val="00381FCF"/>
    <w:rsid w:val="003B5763"/>
    <w:rsid w:val="003C3209"/>
    <w:rsid w:val="003D0EB6"/>
    <w:rsid w:val="003F629A"/>
    <w:rsid w:val="00455F48"/>
    <w:rsid w:val="004609A3"/>
    <w:rsid w:val="00480D6A"/>
    <w:rsid w:val="004A0CB0"/>
    <w:rsid w:val="004B0E0C"/>
    <w:rsid w:val="004B5721"/>
    <w:rsid w:val="004F72E0"/>
    <w:rsid w:val="00501F17"/>
    <w:rsid w:val="00510AEC"/>
    <w:rsid w:val="00513111"/>
    <w:rsid w:val="00513504"/>
    <w:rsid w:val="005400FD"/>
    <w:rsid w:val="00561606"/>
    <w:rsid w:val="005723A9"/>
    <w:rsid w:val="005D4F62"/>
    <w:rsid w:val="005F52CF"/>
    <w:rsid w:val="00617D6E"/>
    <w:rsid w:val="00635731"/>
    <w:rsid w:val="0069725B"/>
    <w:rsid w:val="006A2242"/>
    <w:rsid w:val="006E7FCA"/>
    <w:rsid w:val="007037C1"/>
    <w:rsid w:val="00705A35"/>
    <w:rsid w:val="007300E6"/>
    <w:rsid w:val="00743723"/>
    <w:rsid w:val="0076132A"/>
    <w:rsid w:val="00772C41"/>
    <w:rsid w:val="007B4D27"/>
    <w:rsid w:val="007B7B76"/>
    <w:rsid w:val="007C2734"/>
    <w:rsid w:val="007E0FA6"/>
    <w:rsid w:val="008940ED"/>
    <w:rsid w:val="008A6515"/>
    <w:rsid w:val="008C12F1"/>
    <w:rsid w:val="008F09BC"/>
    <w:rsid w:val="00904E01"/>
    <w:rsid w:val="009230D6"/>
    <w:rsid w:val="00924306"/>
    <w:rsid w:val="00926B43"/>
    <w:rsid w:val="0093703A"/>
    <w:rsid w:val="0094777D"/>
    <w:rsid w:val="009608CB"/>
    <w:rsid w:val="00974731"/>
    <w:rsid w:val="009A0EFB"/>
    <w:rsid w:val="009A1C9B"/>
    <w:rsid w:val="009A30A3"/>
    <w:rsid w:val="009E043A"/>
    <w:rsid w:val="00A023DB"/>
    <w:rsid w:val="00A13E43"/>
    <w:rsid w:val="00A20E68"/>
    <w:rsid w:val="00A22DFE"/>
    <w:rsid w:val="00A246E6"/>
    <w:rsid w:val="00A25F43"/>
    <w:rsid w:val="00A40C20"/>
    <w:rsid w:val="00A574E0"/>
    <w:rsid w:val="00A81EB9"/>
    <w:rsid w:val="00B05AEA"/>
    <w:rsid w:val="00B617B4"/>
    <w:rsid w:val="00B670A0"/>
    <w:rsid w:val="00B95EC7"/>
    <w:rsid w:val="00BA7346"/>
    <w:rsid w:val="00BD6BDD"/>
    <w:rsid w:val="00BF098E"/>
    <w:rsid w:val="00C05A31"/>
    <w:rsid w:val="00C136A8"/>
    <w:rsid w:val="00C2228C"/>
    <w:rsid w:val="00C31CC1"/>
    <w:rsid w:val="00C5445C"/>
    <w:rsid w:val="00C70A52"/>
    <w:rsid w:val="00C961DD"/>
    <w:rsid w:val="00CA09D5"/>
    <w:rsid w:val="00CA2FC8"/>
    <w:rsid w:val="00CB5021"/>
    <w:rsid w:val="00CF79E5"/>
    <w:rsid w:val="00D1198F"/>
    <w:rsid w:val="00D96820"/>
    <w:rsid w:val="00DA061A"/>
    <w:rsid w:val="00DB1327"/>
    <w:rsid w:val="00DD6FB8"/>
    <w:rsid w:val="00DE7B09"/>
    <w:rsid w:val="00E10423"/>
    <w:rsid w:val="00E74350"/>
    <w:rsid w:val="00E753A8"/>
    <w:rsid w:val="00E862C3"/>
    <w:rsid w:val="00EA7229"/>
    <w:rsid w:val="00EC3624"/>
    <w:rsid w:val="00ED4F1E"/>
    <w:rsid w:val="00EE5E8C"/>
    <w:rsid w:val="00EE6387"/>
    <w:rsid w:val="00F11A02"/>
    <w:rsid w:val="00F31DC8"/>
    <w:rsid w:val="00F92409"/>
    <w:rsid w:val="00FD639B"/>
    <w:rsid w:val="00FE7A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DEA84"/>
  <w15:chartTrackingRefBased/>
  <w15:docId w15:val="{FA488BA3-CD8B-4879-B1A8-68173E0E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629A"/>
    <w:pPr>
      <w:spacing w:after="0" w:line="240" w:lineRule="auto"/>
      <w:jc w:val="both"/>
    </w:pPr>
    <w:rPr>
      <w:rFonts w:ascii="Arial" w:hAnsi="Arial"/>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4350"/>
    <w:pPr>
      <w:tabs>
        <w:tab w:val="center" w:pos="4513"/>
        <w:tab w:val="right" w:pos="9026"/>
      </w:tabs>
    </w:pPr>
  </w:style>
  <w:style w:type="character" w:customStyle="1" w:styleId="En-tteCar">
    <w:name w:val="En-tête Car"/>
    <w:basedOn w:val="Policepardfaut"/>
    <w:link w:val="En-tte"/>
    <w:uiPriority w:val="99"/>
    <w:rsid w:val="00E74350"/>
  </w:style>
  <w:style w:type="paragraph" w:styleId="Pieddepage">
    <w:name w:val="footer"/>
    <w:basedOn w:val="Normal"/>
    <w:link w:val="PieddepageCar"/>
    <w:uiPriority w:val="99"/>
    <w:unhideWhenUsed/>
    <w:rsid w:val="00B05AEA"/>
    <w:pPr>
      <w:tabs>
        <w:tab w:val="center" w:pos="4513"/>
        <w:tab w:val="right" w:pos="9026"/>
      </w:tabs>
    </w:pPr>
  </w:style>
  <w:style w:type="character" w:customStyle="1" w:styleId="PieddepageCar">
    <w:name w:val="Pied de page Car"/>
    <w:basedOn w:val="Policepardfaut"/>
    <w:link w:val="Pieddepage"/>
    <w:uiPriority w:val="99"/>
    <w:rsid w:val="00B05AEA"/>
    <w:rPr>
      <w:rFonts w:ascii="Arial" w:hAnsi="Arial"/>
      <w:color w:val="4D4D4D"/>
      <w:sz w:val="20"/>
    </w:rPr>
  </w:style>
  <w:style w:type="paragraph" w:styleId="Textedebulles">
    <w:name w:val="Balloon Text"/>
    <w:basedOn w:val="Normal"/>
    <w:link w:val="TextedebullesCar"/>
    <w:uiPriority w:val="99"/>
    <w:semiHidden/>
    <w:unhideWhenUsed/>
    <w:rsid w:val="008C12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12F1"/>
    <w:rPr>
      <w:rFonts w:ascii="Segoe UI" w:hAnsi="Segoe UI" w:cs="Segoe UI"/>
      <w:color w:val="414141"/>
      <w:sz w:val="18"/>
      <w:szCs w:val="18"/>
    </w:rPr>
  </w:style>
  <w:style w:type="table" w:styleId="Grilledutableau">
    <w:name w:val="Table Grid"/>
    <w:basedOn w:val="TableauNormal"/>
    <w:rsid w:val="00635731"/>
    <w:pPr>
      <w:spacing w:after="0" w:line="240" w:lineRule="auto"/>
    </w:pPr>
    <w:rPr>
      <w:rFonts w:ascii="Times New Roman" w:eastAsia="Times New Roman" w:hAnsi="Times New Roman" w:cs="Times New Roman"/>
      <w:sz w:val="20"/>
      <w:szCs w:val="20"/>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635731"/>
    <w:pPr>
      <w:overflowPunct w:val="0"/>
      <w:autoSpaceDE w:val="0"/>
      <w:autoSpaceDN w:val="0"/>
      <w:adjustRightInd w:val="0"/>
      <w:ind w:left="720"/>
      <w:contextualSpacing/>
      <w:jc w:val="left"/>
    </w:pPr>
    <w:rPr>
      <w:rFonts w:eastAsia="Times New Roman" w:cs="Times New Roman"/>
      <w:color w:val="auto"/>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513a8f-eda8-4045-9dbf-9684c8bf07b0"/>
    <l99659f251bf4a1e889a60a83fc05030 xmlns="0bdd1bfa-3064-4529-96b5-b879ad933420">
      <Terms xmlns="http://schemas.microsoft.com/office/infopath/2007/PartnerControls"/>
    </l99659f251bf4a1e889a60a83fc05030>
    <TaxKeywordTaxHTField xmlns="0bdd1bfa-3064-4529-96b5-b879ad933420">
      <Terms xmlns="http://schemas.microsoft.com/office/infopath/2007/PartnerControls"/>
    </TaxKeywordTaxHTField>
    <dbd9630e227f4620bf97635c42792011 xmlns="0bdd1bfa-3064-4529-96b5-b879ad933420">
      <Terms xmlns="http://schemas.microsoft.com/office/infopath/2007/PartnerControls"/>
    </dbd9630e227f4620bf97635c42792011>
    <a7df2cbe0b2343e1b84185174bc9786e xmlns="0bdd1bfa-3064-4529-96b5-b879ad933420">
      <Terms xmlns="http://schemas.microsoft.com/office/infopath/2007/PartnerControls"/>
    </a7df2cbe0b2343e1b84185174bc9786e>
    <Références_x0020_métier xmlns="0bdd1bfa-3064-4529-96b5-b879ad933420" xsi:nil="true"/>
    <o9706eb37c6f4a06900eeac0b007eda2 xmlns="0bdd1bfa-3064-4529-96b5-b879ad933420">
      <Terms xmlns="http://schemas.microsoft.com/office/infopath/2007/PartnerControls"/>
    </o9706eb37c6f4a06900eeac0b007eda2>
    <Début_x0020_de_x0020_validité xmlns="0bdd1bfa-3064-4529-96b5-b879ad933420" xsi:nil="true"/>
    <Fin_x0020_de_x0020_validité xmlns="0bdd1bfa-3064-4529-96b5-b879ad9334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1E640CEDC594B9FD0154AAF3578BB" ma:contentTypeVersion="12" ma:contentTypeDescription="Crée un document." ma:contentTypeScope="" ma:versionID="491dfbc05917c88cd012cfced672de10">
  <xsd:schema xmlns:xsd="http://www.w3.org/2001/XMLSchema" xmlns:xs="http://www.w3.org/2001/XMLSchema" xmlns:p="http://schemas.microsoft.com/office/2006/metadata/properties" xmlns:ns2="b0513a8f-eda8-4045-9dbf-9684c8bf07b0" xmlns:ns3="0bdd1bfa-3064-4529-96b5-b879ad933420" xmlns:ns4="0964d2d8-cec4-44b4-ba42-1a7de600892d" targetNamespace="http://schemas.microsoft.com/office/2006/metadata/properties" ma:root="true" ma:fieldsID="18ecdfa5df7061ec65580e6a8a29eb10" ns2:_="" ns3:_="" ns4:_="">
    <xsd:import namespace="b0513a8f-eda8-4045-9dbf-9684c8bf07b0"/>
    <xsd:import namespace="0bdd1bfa-3064-4529-96b5-b879ad933420"/>
    <xsd:import namespace="0964d2d8-cec4-44b4-ba42-1a7de600892d"/>
    <xsd:element name="properties">
      <xsd:complexType>
        <xsd:sequence>
          <xsd:element name="documentManagement">
            <xsd:complexType>
              <xsd:all>
                <xsd:element ref="ns2:TaxCatchAll" minOccurs="0"/>
                <xsd:element ref="ns2:TaxCatchAllLabel" minOccurs="0"/>
                <xsd:element ref="ns3:TaxKeywordTaxHTField" minOccurs="0"/>
                <xsd:element ref="ns2:_dlc_DocId" minOccurs="0"/>
                <xsd:element ref="ns2:_dlc_DocIdUrl" minOccurs="0"/>
                <xsd:element ref="ns2:_dlc_DocIdPersistId" minOccurs="0"/>
                <xsd:element ref="ns3:o9706eb37c6f4a06900eeac0b007eda2" minOccurs="0"/>
                <xsd:element ref="ns3:l99659f251bf4a1e889a60a83fc05030" minOccurs="0"/>
                <xsd:element ref="ns3:a7df2cbe0b2343e1b84185174bc9786e" minOccurs="0"/>
                <xsd:element ref="ns3:dbd9630e227f4620bf97635c42792011" minOccurs="0"/>
                <xsd:element ref="ns3:Début_x0020_de_x0020_validité" minOccurs="0"/>
                <xsd:element ref="ns3:Fin_x0020_de_x0020_validité" minOccurs="0"/>
                <xsd:element ref="ns3:Références_x0020_métie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13a8f-eda8-4045-9dbf-9684c8bf07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ea3a94fa-1407-44f2-a291-e08e833d5665}" ma:internalName="TaxCatchAll" ma:showField="CatchAllData" ma:web="0bdd1bfa-3064-4529-96b5-b879ad93342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ea3a94fa-1407-44f2-a291-e08e833d5665}" ma:internalName="TaxCatchAllLabel" ma:readOnly="true" ma:showField="CatchAllDataLabel" ma:web="0bdd1bfa-3064-4529-96b5-b879ad93342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Valeur d’ID de document" ma:description="Valeur de l’ID de document affecté à cet élément."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dd1bfa-3064-4529-96b5-b879ad933420"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Mots clés d’entrepri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o9706eb37c6f4a06900eeac0b007eda2" ma:index="16" nillable="true" ma:taxonomy="true" ma:internalName="o9706eb37c6f4a06900eeac0b007eda2" ma:taxonomyFieldName="Ann_x00e9_e_x0020_Acad_x00e9_mique_x0020_concern_x00e9_e" ma:displayName="Année Académique concernée" ma:fieldId="{89706eb3-7c6f-4a06-900e-eac0b007eda2}" ma:sspId="b322d84b-9107-45f9-98b0-fcc71aaba640" ma:termSetId="7c41caeb-327a-40eb-bf51-087b2e28cf2c" ma:anchorId="00000000-0000-0000-0000-000000000000" ma:open="false" ma:isKeyword="false">
      <xsd:complexType>
        <xsd:sequence>
          <xsd:element ref="pc:Terms" minOccurs="0" maxOccurs="1"/>
        </xsd:sequence>
      </xsd:complexType>
    </xsd:element>
    <xsd:element name="l99659f251bf4a1e889a60a83fc05030" ma:index="18" nillable="true" ma:taxonomy="true" ma:internalName="l99659f251bf4a1e889a60a83fc05030" ma:taxonomyFieldName="Entit_x00e9_s" ma:displayName="Entités" ma:fieldId="{599659f2-51bf-4a1e-889a-60a83fc05030}" ma:taxonomyMulti="true" ma:sspId="b322d84b-9107-45f9-98b0-fcc71aaba640" ma:termSetId="9cb2da83-3616-40d3-b0f6-9cac6bedf157" ma:anchorId="00000000-0000-0000-0000-000000000000" ma:open="false" ma:isKeyword="false">
      <xsd:complexType>
        <xsd:sequence>
          <xsd:element ref="pc:Terms" minOccurs="0" maxOccurs="1"/>
        </xsd:sequence>
      </xsd:complexType>
    </xsd:element>
    <xsd:element name="a7df2cbe0b2343e1b84185174bc9786e" ma:index="20" nillable="true" ma:taxonomy="true" ma:internalName="a7df2cbe0b2343e1b84185174bc9786e" ma:taxonomyFieldName="Processus_x0020_concern_x00e9_s" ma:displayName="Processus concernés" ma:fieldId="{a7df2cbe-0b23-43e1-b841-85174bc9786e}" ma:taxonomyMulti="true" ma:sspId="b322d84b-9107-45f9-98b0-fcc71aaba640" ma:termSetId="933696de-ea79-43b6-96be-a9fb7a96753d" ma:anchorId="00000000-0000-0000-0000-000000000000" ma:open="false" ma:isKeyword="false">
      <xsd:complexType>
        <xsd:sequence>
          <xsd:element ref="pc:Terms" minOccurs="0" maxOccurs="1"/>
        </xsd:sequence>
      </xsd:complexType>
    </xsd:element>
    <xsd:element name="dbd9630e227f4620bf97635c42792011" ma:index="22" nillable="true" ma:taxonomy="true" ma:internalName="dbd9630e227f4620bf97635c42792011" ma:taxonomyFieldName="Type_x0020_information" ma:displayName="Type information" ma:fieldId="{dbd9630e-227f-4620-bf97-635c42792011}" ma:taxonomyMulti="true" ma:sspId="b322d84b-9107-45f9-98b0-fcc71aaba640" ma:termSetId="23e13dc8-cd61-4354-8fa6-d49e034b2f91" ma:anchorId="00000000-0000-0000-0000-000000000000" ma:open="false" ma:isKeyword="false">
      <xsd:complexType>
        <xsd:sequence>
          <xsd:element ref="pc:Terms" minOccurs="0" maxOccurs="1"/>
        </xsd:sequence>
      </xsd:complexType>
    </xsd:element>
    <xsd:element name="Début_x0020_de_x0020_validité" ma:index="23" nillable="true" ma:displayName="Début de validité" ma:default="" ma:description="Lorsque la date d’entrée en vigueur est importante : par exemple pour un contrat de confidentialité" ma:format="DateOnly" ma:internalName="D_x00e9_but_x0020_de_x0020_validit_x00e9_">
      <xsd:simpleType>
        <xsd:restriction base="dms:DateTime"/>
      </xsd:simpleType>
    </xsd:element>
    <xsd:element name="Fin_x0020_de_x0020_validité" ma:index="24" nillable="true" ma:displayName="Fin de validité" ma:default="" ma:description="Lorsque cette date est importante : par exemple pour un contrat de confidentialité" ma:format="DateOnly" ma:internalName="Fin_x0020_de_x0020_validit_x00e9_">
      <xsd:simpleType>
        <xsd:restriction base="dms:DateTime"/>
      </xsd:simpleType>
    </xsd:element>
    <xsd:element name="Références_x0020_métier" ma:index="25" nillable="true" ma:displayName="Références métier" ma:default="" ma:description="Pour répondre à des besoins de catégorisation propres à une entité : par exemple n°AGP, n° de commande, référence fournisseur, etc." ma:internalName="R_x00e9_f_x00e9_rences_x0020_m_x00e9_ti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4d2d8-cec4-44b4-ba42-1a7de600892d" elementFormDefault="qualified">
    <xsd:import namespace="http://schemas.microsoft.com/office/2006/documentManagement/types"/>
    <xsd:import namespace="http://schemas.microsoft.com/office/infopath/2007/PartnerControls"/>
    <xsd:element name="SharedWithUsers" ma:index="2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322d84b-9107-45f9-98b0-fcc71aaba640"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D063-DD44-456C-BC85-A44D248E5048}">
  <ds:schemaRefs>
    <ds:schemaRef ds:uri="http://schemas.microsoft.com/office/2006/metadata/properties"/>
    <ds:schemaRef ds:uri="http://schemas.microsoft.com/office/infopath/2007/PartnerControls"/>
    <ds:schemaRef ds:uri="b0513a8f-eda8-4045-9dbf-9684c8bf07b0"/>
    <ds:schemaRef ds:uri="0bdd1bfa-3064-4529-96b5-b879ad933420"/>
  </ds:schemaRefs>
</ds:datastoreItem>
</file>

<file path=customXml/itemProps2.xml><?xml version="1.0" encoding="utf-8"?>
<ds:datastoreItem xmlns:ds="http://schemas.openxmlformats.org/officeDocument/2006/customXml" ds:itemID="{FEE0B423-027B-485C-B4F3-C15C4A0E6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13a8f-eda8-4045-9dbf-9684c8bf07b0"/>
    <ds:schemaRef ds:uri="0bdd1bfa-3064-4529-96b5-b879ad933420"/>
    <ds:schemaRef ds:uri="0964d2d8-cec4-44b4-ba42-1a7de600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7D8EC-813B-4574-AAD1-7225A19B9C41}">
  <ds:schemaRefs>
    <ds:schemaRef ds:uri="http://schemas.microsoft.com/sharepoint/events"/>
  </ds:schemaRefs>
</ds:datastoreItem>
</file>

<file path=customXml/itemProps4.xml><?xml version="1.0" encoding="utf-8"?>
<ds:datastoreItem xmlns:ds="http://schemas.openxmlformats.org/officeDocument/2006/customXml" ds:itemID="{5715FD92-0030-4EDE-9189-7AFB98A07CBB}">
  <ds:schemaRefs>
    <ds:schemaRef ds:uri="http://schemas.microsoft.com/sharepoint/v3/contenttype/forms"/>
  </ds:schemaRefs>
</ds:datastoreItem>
</file>

<file path=customXml/itemProps5.xml><?xml version="1.0" encoding="utf-8"?>
<ds:datastoreItem xmlns:ds="http://schemas.openxmlformats.org/officeDocument/2006/customXml" ds:itemID="{365E604C-429F-4777-8CC2-272ED49B4C38}">
  <ds:schemaRefs>
    <ds:schemaRef ds:uri="Microsoft.SharePoint.Taxonomy.ContentTypeSync"/>
  </ds:schemaRefs>
</ds:datastoreItem>
</file>

<file path=customXml/itemProps6.xml><?xml version="1.0" encoding="utf-8"?>
<ds:datastoreItem xmlns:ds="http://schemas.openxmlformats.org/officeDocument/2006/customXml" ds:itemID="{17917D10-4D79-8B4E-ADA1-87758602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1956</Words>
  <Characters>10764</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HEFR</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Schenevey Perroulaz Eliane</dc:creator>
  <cp:keywords/>
  <dc:description/>
  <cp:lastModifiedBy>Redzic Ahmed</cp:lastModifiedBy>
  <cp:revision>3</cp:revision>
  <cp:lastPrinted>2016-04-05T09:25:00Z</cp:lastPrinted>
  <dcterms:created xsi:type="dcterms:W3CDTF">2019-01-21T22:12:00Z</dcterms:created>
  <dcterms:modified xsi:type="dcterms:W3CDTF">2019-01-21T22:54:00Z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0x0101006AE1E640CEDC594B9FD0154AAF3578BB</vt:lpwstr>
  </property>
  <property fmtid="{D5CDD505-2E9C-101B-9397-08002B2CF9AE}" pid="3" name="TaxKeyword">
    <vt:lpwstr/>
  </property>
  <property fmtid="{D5CDD505-2E9C-101B-9397-08002B2CF9AE}" pid="4" name="Entités">
    <vt:lpwstr/>
  </property>
  <property fmtid="{D5CDD505-2E9C-101B-9397-08002B2CF9AE}" pid="5" name="Type information">
    <vt:lpwstr/>
  </property>
  <property fmtid="{D5CDD505-2E9C-101B-9397-08002B2CF9AE}" pid="6" name="Année Académique concernée">
    <vt:lpwstr/>
  </property>
  <property fmtid="{D5CDD505-2E9C-101B-9397-08002B2CF9AE}" pid="7" name="Processus concernés">
    <vt:lpwstr/>
  </property>
</Properties>
</file>