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AD7" w:rsidRPr="00072B06" w:rsidRDefault="00072B06" w:rsidP="00072B06">
      <w:pPr>
        <w:spacing w:line="480" w:lineRule="auto"/>
        <w:rPr>
          <w:rFonts w:cs="Times New Roman"/>
          <w:b/>
        </w:rPr>
      </w:pPr>
      <w:r w:rsidRPr="00072B06">
        <w:rPr>
          <w:rFonts w:cs="Times New Roman"/>
          <w:b/>
        </w:rPr>
        <w:t xml:space="preserve">Almacenamiento </w:t>
      </w:r>
      <w:r w:rsidR="00A34F79">
        <w:rPr>
          <w:rFonts w:cs="Times New Roman"/>
          <w:b/>
        </w:rPr>
        <w:t>secundario y terciario</w:t>
      </w:r>
    </w:p>
    <w:p w:rsidR="00A34F79" w:rsidRDefault="00A34F79" w:rsidP="00A34F79">
      <w:pPr>
        <w:spacing w:line="480" w:lineRule="auto"/>
        <w:ind w:left="1440"/>
      </w:pPr>
      <w:r w:rsidRPr="00EF1BB1">
        <w:t>Esta categoría incluye los discos magnéticos, los discos ópticos y las cintas. Las unidades de disco duro se clasifican como almacenamiento secundario, mientras que los medios removibles o extraíbles están considerados como almacenamiento terciario. Estos dispositivos normalmente tienen gran capacidad, cuestan poco y proporcionan un acceso más lento a los datos que los</w:t>
      </w:r>
      <w:bookmarkStart w:id="0" w:name="_GoBack"/>
      <w:bookmarkEnd w:id="0"/>
      <w:r w:rsidRPr="00EF1BB1">
        <w:t xml:space="preserve"> dispositivos de almacenamiento principales. </w:t>
      </w:r>
    </w:p>
    <w:p w:rsidR="00072B06" w:rsidRPr="00072B06" w:rsidRDefault="006E4DA5" w:rsidP="00072B06">
      <w:pPr>
        <w:spacing w:line="480" w:lineRule="auto"/>
        <w:ind w:left="1416"/>
        <w:rPr>
          <w:rFonts w:cs="Times New Roman"/>
        </w:rPr>
      </w:pPr>
      <w:sdt>
        <w:sdtPr>
          <w:rPr>
            <w:rFonts w:cs="Times New Roman"/>
          </w:rPr>
          <w:id w:val="-456107062"/>
          <w:citation/>
        </w:sdtPr>
        <w:sdtContent>
          <w:r>
            <w:rPr>
              <w:rFonts w:cs="Times New Roman"/>
            </w:rPr>
            <w:fldChar w:fldCharType="begin"/>
          </w:r>
          <w:r>
            <w:rPr>
              <w:rFonts w:cs="Times New Roman"/>
            </w:rPr>
            <w:instrText xml:space="preserve">CITATION Elm07 \p 390 \l 2058 </w:instrText>
          </w:r>
          <w:r>
            <w:rPr>
              <w:rFonts w:cs="Times New Roman"/>
            </w:rPr>
            <w:fldChar w:fldCharType="separate"/>
          </w:r>
          <w:r w:rsidRPr="006E4DA5">
            <w:rPr>
              <w:rFonts w:cs="Times New Roman"/>
              <w:noProof/>
            </w:rPr>
            <w:t>(Elmasri &amp; B. Navathe, 2007, pág. 390)</w:t>
          </w:r>
          <w:r>
            <w:rPr>
              <w:rFonts w:cs="Times New Roman"/>
            </w:rPr>
            <w:fldChar w:fldCharType="end"/>
          </w:r>
        </w:sdtContent>
      </w:sdt>
    </w:p>
    <w:sectPr w:rsidR="00072B06" w:rsidRPr="00072B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B06"/>
    <w:rsid w:val="00072B06"/>
    <w:rsid w:val="000D4494"/>
    <w:rsid w:val="005D5CBF"/>
    <w:rsid w:val="006E4DA5"/>
    <w:rsid w:val="00A34F79"/>
    <w:rsid w:val="00B0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D1BF3B"/>
  <w15:chartTrackingRefBased/>
  <w15:docId w15:val="{C9114B3D-2C86-4476-B1B2-C1513711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F79"/>
    <w:pPr>
      <w:spacing w:after="0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{FC0FCD0D-AD02-458E-BCDA-9E884EB5F18E}</b:Guid>
    <b:Title>Fundamentos de Sistemas de Bases de Datos</b:Title>
    <b:Year>2007</b:Year>
    <b:City>Madrid</b:City>
    <b:Publisher>Pearson Addison Wesley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86DDD1FF-1B0F-42D3-A2C5-6A10F84F1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jovanni moralesz</cp:lastModifiedBy>
  <cp:revision>3</cp:revision>
  <dcterms:created xsi:type="dcterms:W3CDTF">2017-02-21T21:31:00Z</dcterms:created>
  <dcterms:modified xsi:type="dcterms:W3CDTF">2018-02-13T00:58:00Z</dcterms:modified>
</cp:coreProperties>
</file>