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17" w:rsidRDefault="00CB2917" w:rsidP="00CB2917">
      <w:pPr>
        <w:shd w:val="clear" w:color="auto" w:fill="FFFFFF"/>
        <w:spacing w:after="0" w:line="276" w:lineRule="auto"/>
        <w:ind w:right="49"/>
        <w:jc w:val="center"/>
        <w:rPr>
          <w:rFonts w:ascii="Verdana" w:eastAsia="Times New Roman" w:hAnsi="Verdana" w:cs="Times New Roman"/>
          <w:b/>
          <w:bCs/>
          <w:sz w:val="20"/>
          <w:szCs w:val="20"/>
          <w:lang w:eastAsia="es-MX"/>
        </w:rPr>
      </w:pPr>
      <w:r>
        <w:rPr>
          <w:noProof/>
          <w:lang w:eastAsia="es-MX"/>
        </w:rPr>
        <w:drawing>
          <wp:inline distT="0" distB="0" distL="0" distR="0" wp14:anchorId="704D2CE6" wp14:editId="5BC070E9">
            <wp:extent cx="1724025" cy="172402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6470" cy="1736470"/>
                    </a:xfrm>
                    <a:prstGeom prst="rect">
                      <a:avLst/>
                    </a:prstGeom>
                    <a:noFill/>
                    <a:ln>
                      <a:noFill/>
                    </a:ln>
                  </pic:spPr>
                </pic:pic>
              </a:graphicData>
            </a:graphic>
          </wp:inline>
        </w:drawing>
      </w:r>
    </w:p>
    <w:p w:rsidR="00CB2917" w:rsidRDefault="00CB2917" w:rsidP="00CB2917">
      <w:pPr>
        <w:shd w:val="clear" w:color="auto" w:fill="FFFFFF"/>
        <w:spacing w:after="0" w:line="276" w:lineRule="auto"/>
        <w:ind w:right="49"/>
        <w:jc w:val="both"/>
        <w:rPr>
          <w:rFonts w:ascii="Verdana" w:eastAsia="Times New Roman" w:hAnsi="Verdana" w:cs="Times New Roman"/>
          <w:b/>
          <w:bCs/>
          <w:sz w:val="20"/>
          <w:szCs w:val="20"/>
          <w:lang w:eastAsia="es-MX"/>
        </w:rPr>
      </w:pPr>
    </w:p>
    <w:p w:rsidR="00CB2917" w:rsidRPr="001B246B" w:rsidRDefault="00CB2917" w:rsidP="00CB2917">
      <w:pPr>
        <w:pStyle w:val="Ttulo"/>
        <w:rPr>
          <w:rFonts w:eastAsia="Times New Roman"/>
          <w:lang w:eastAsia="es-MX"/>
        </w:rPr>
      </w:pPr>
      <w:r w:rsidRPr="001B246B">
        <w:rPr>
          <w:rFonts w:eastAsia="Times New Roman"/>
          <w:lang w:eastAsia="es-MX"/>
        </w:rPr>
        <w:t>Teoría: Gestión estratégica</w:t>
      </w:r>
      <w:r>
        <w:rPr>
          <w:rFonts w:eastAsia="Times New Roman"/>
          <w:lang w:eastAsia="es-MX"/>
        </w:rPr>
        <w:t xml:space="preserve"> (Neoclásico)</w:t>
      </w:r>
    </w:p>
    <w:p w:rsidR="00CB2917" w:rsidRPr="001B246B" w:rsidRDefault="00CB2917" w:rsidP="00CB2917">
      <w:pPr>
        <w:pStyle w:val="Ttulo2"/>
        <w:rPr>
          <w:rFonts w:eastAsia="Times New Roman"/>
          <w:lang w:eastAsia="es-MX"/>
        </w:rPr>
      </w:pPr>
      <w:r w:rsidRPr="001B246B">
        <w:rPr>
          <w:rFonts w:eastAsia="Times New Roman"/>
          <w:lang w:eastAsia="es-MX"/>
        </w:rPr>
        <w:t>Exponente: Peter Ferdinand Drucker</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1B246B">
        <w:rPr>
          <w:rFonts w:ascii="Verdana" w:eastAsia="Times New Roman" w:hAnsi="Verdana" w:cs="Times New Roman"/>
          <w:sz w:val="21"/>
          <w:szCs w:val="21"/>
          <w:lang w:eastAsia="es-MX"/>
        </w:rPr>
        <w:br/>
      </w:r>
      <w:r w:rsidRPr="004E6D1C">
        <w:rPr>
          <w:rFonts w:ascii="Arial" w:eastAsia="Times New Roman" w:hAnsi="Arial" w:cs="Arial"/>
          <w:b/>
          <w:bCs/>
          <w:szCs w:val="20"/>
          <w:lang w:eastAsia="es-MX"/>
        </w:rPr>
        <w:t>Período: </w:t>
      </w:r>
      <w:r w:rsidRPr="004E6D1C">
        <w:rPr>
          <w:rFonts w:ascii="Arial" w:eastAsia="Times New Roman" w:hAnsi="Arial" w:cs="Arial"/>
          <w:szCs w:val="20"/>
          <w:lang w:eastAsia="es-MX"/>
        </w:rPr>
        <w:t>1909-2005</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0"/>
          <w:lang w:eastAsia="es-MX"/>
        </w:rPr>
        <w:t xml:space="preserve">Toman los principios de Fayol y los actualiza, teniendo en contexto la segunda mitad del siglo XX, y los nuevos modelos empresariales, caracterizados por su mayor dimensión y pluralidad de asentamientos. </w:t>
      </w:r>
    </w:p>
    <w:p w:rsidR="00CB2917" w:rsidRPr="004E6D1C" w:rsidRDefault="00CB2917" w:rsidP="00CB2917">
      <w:pPr>
        <w:spacing w:after="0" w:line="276" w:lineRule="auto"/>
        <w:ind w:right="49"/>
        <w:jc w:val="both"/>
        <w:rPr>
          <w:rFonts w:ascii="Arial" w:eastAsia="Times New Roman" w:hAnsi="Arial" w:cs="Arial"/>
          <w:szCs w:val="20"/>
          <w:lang w:eastAsia="es-MX"/>
        </w:rPr>
      </w:pP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0"/>
          <w:lang w:eastAsia="es-MX"/>
        </w:rPr>
        <w:t xml:space="preserve">En este periodo los autores Neoclásicos entienden que la administración consiste en orientar dirigir y controlar los esfuerzos de un grupo de individuos para lograr un objetivo común, este sentido la administración puede ser concebida como la función de coordinar las actividades grupales, de manera que estas alcancen un objetivo prestablecido.   </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1"/>
          <w:lang w:eastAsia="es-MX"/>
        </w:rPr>
        <w:br/>
      </w:r>
      <w:r w:rsidRPr="004E6D1C">
        <w:rPr>
          <w:rFonts w:ascii="Arial" w:eastAsia="Times New Roman" w:hAnsi="Arial" w:cs="Arial"/>
          <w:b/>
          <w:bCs/>
          <w:szCs w:val="20"/>
          <w:lang w:eastAsia="es-MX"/>
        </w:rPr>
        <w:t>Datos biográficos: </w:t>
      </w:r>
      <w:r w:rsidRPr="004E6D1C">
        <w:rPr>
          <w:rFonts w:ascii="Arial" w:eastAsia="Times New Roman" w:hAnsi="Arial" w:cs="Arial"/>
          <w:szCs w:val="20"/>
          <w:lang w:eastAsia="es-MX"/>
        </w:rPr>
        <w:t>Filósofo, historiador, abogado y tratadista austriaco considerado como uno de los más importantes teóricos de la administración moderna, sus ideas sentaron las bases de la corporación como actualmente la conocemos. Pensaba que la vida de cada persona podía enriquecerse mediante una gestión eficaz y un liderazgo ético.</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1"/>
          <w:lang w:eastAsia="es-MX"/>
        </w:rPr>
        <w:br/>
      </w:r>
      <w:r w:rsidRPr="004E6D1C">
        <w:rPr>
          <w:rFonts w:ascii="Arial" w:eastAsia="Times New Roman" w:hAnsi="Arial" w:cs="Arial"/>
          <w:b/>
          <w:bCs/>
          <w:szCs w:val="20"/>
          <w:lang w:eastAsia="es-MX"/>
        </w:rPr>
        <w:t>Aportación: </w:t>
      </w:r>
      <w:r w:rsidRPr="004E6D1C">
        <w:rPr>
          <w:rFonts w:ascii="Arial" w:eastAsia="Times New Roman" w:hAnsi="Arial" w:cs="Arial"/>
          <w:szCs w:val="20"/>
          <w:lang w:eastAsia="es-MX"/>
        </w:rPr>
        <w:t>Se centralizó en el análisis de que existe un gran número de empleados que tienen conocimientos mayores que sus superiores y postuló el cómo dicho fenómeno afecta la forma en que son dirigidas las organizaciones.</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1"/>
          <w:lang w:eastAsia="es-MX"/>
        </w:rPr>
        <w:br/>
      </w:r>
      <w:r w:rsidRPr="004E6D1C">
        <w:rPr>
          <w:rFonts w:ascii="Arial" w:eastAsia="Times New Roman" w:hAnsi="Arial" w:cs="Arial"/>
          <w:b/>
          <w:bCs/>
          <w:szCs w:val="20"/>
          <w:lang w:eastAsia="es-MX"/>
        </w:rPr>
        <w:t>Obra principal: </w:t>
      </w:r>
      <w:r w:rsidRPr="004E6D1C">
        <w:rPr>
          <w:rFonts w:ascii="Arial" w:eastAsia="Times New Roman" w:hAnsi="Arial" w:cs="Arial"/>
          <w:i/>
          <w:iCs/>
          <w:szCs w:val="20"/>
          <w:lang w:eastAsia="es-MX"/>
        </w:rPr>
        <w:t>La Era de la Discontinuidad</w:t>
      </w:r>
      <w:r w:rsidRPr="004E6D1C">
        <w:rPr>
          <w:rFonts w:ascii="Arial" w:eastAsia="Times New Roman" w:hAnsi="Arial" w:cs="Arial"/>
          <w:szCs w:val="20"/>
          <w:lang w:eastAsia="es-MX"/>
        </w:rPr>
        <w:t> (1969)</w:t>
      </w: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1"/>
          <w:lang w:eastAsia="es-MX"/>
        </w:rPr>
        <w:br/>
      </w:r>
      <w:r w:rsidRPr="004E6D1C">
        <w:rPr>
          <w:rFonts w:ascii="Arial" w:eastAsia="Times New Roman" w:hAnsi="Arial" w:cs="Arial"/>
          <w:b/>
          <w:bCs/>
          <w:szCs w:val="20"/>
          <w:lang w:eastAsia="es-MX"/>
        </w:rPr>
        <w:t>Enfoque: </w:t>
      </w:r>
      <w:r w:rsidRPr="004E6D1C">
        <w:rPr>
          <w:rFonts w:ascii="Arial" w:eastAsia="Times New Roman" w:hAnsi="Arial" w:cs="Arial"/>
          <w:szCs w:val="20"/>
          <w:lang w:eastAsia="es-MX"/>
        </w:rPr>
        <w:t xml:space="preserve">La razón de ser de la organización se formaliza en la misión, su visión y los valores que guiarán su actuación teniendo en cuenta que la gestión estratégica que se divide en: análisis, formulación e implantación de la estrategia. </w:t>
      </w:r>
    </w:p>
    <w:p w:rsidR="00CB2917" w:rsidRPr="004E6D1C" w:rsidRDefault="00CB2917" w:rsidP="00CB2917">
      <w:pPr>
        <w:spacing w:after="0" w:line="276" w:lineRule="auto"/>
        <w:ind w:right="49"/>
        <w:jc w:val="both"/>
        <w:rPr>
          <w:rFonts w:ascii="Arial" w:eastAsia="Times New Roman" w:hAnsi="Arial" w:cs="Arial"/>
          <w:szCs w:val="20"/>
          <w:lang w:eastAsia="es-MX"/>
        </w:rPr>
      </w:pPr>
    </w:p>
    <w:p w:rsidR="00CB2917" w:rsidRPr="004E6D1C"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b/>
          <w:szCs w:val="20"/>
          <w:lang w:eastAsia="es-MX"/>
        </w:rPr>
        <w:t>Características:</w:t>
      </w:r>
      <w:r w:rsidRPr="004E6D1C">
        <w:rPr>
          <w:rFonts w:ascii="Arial" w:eastAsia="Times New Roman" w:hAnsi="Arial" w:cs="Arial"/>
          <w:szCs w:val="20"/>
          <w:lang w:eastAsia="es-MX"/>
        </w:rPr>
        <w:t xml:space="preserve"> buscar resultados concretos, se retoma la importancia que tiene para la organización,  la estructura lineal y funcional, la línea y la asesoría staff, las relaciones de autoridad y responsabilidad, la departamentalización y la definición de roles y funciones. </w:t>
      </w:r>
    </w:p>
    <w:p w:rsidR="00373FE3" w:rsidRDefault="00CB2917" w:rsidP="00CB2917">
      <w:pPr>
        <w:spacing w:after="0" w:line="276" w:lineRule="auto"/>
        <w:ind w:right="49"/>
        <w:jc w:val="both"/>
        <w:rPr>
          <w:rFonts w:ascii="Arial" w:eastAsia="Times New Roman" w:hAnsi="Arial" w:cs="Arial"/>
          <w:szCs w:val="20"/>
          <w:lang w:eastAsia="es-MX"/>
        </w:rPr>
      </w:pPr>
      <w:r w:rsidRPr="004E6D1C">
        <w:rPr>
          <w:rFonts w:ascii="Arial" w:eastAsia="Times New Roman" w:hAnsi="Arial" w:cs="Arial"/>
          <w:szCs w:val="21"/>
          <w:lang w:eastAsia="es-MX"/>
        </w:rPr>
        <w:lastRenderedPageBreak/>
        <w:br/>
      </w:r>
      <w:r w:rsidRPr="004E6D1C">
        <w:rPr>
          <w:rFonts w:ascii="Arial" w:eastAsia="Times New Roman" w:hAnsi="Arial" w:cs="Arial"/>
          <w:b/>
          <w:bCs/>
          <w:szCs w:val="20"/>
          <w:lang w:eastAsia="es-MX"/>
        </w:rPr>
        <w:t>Énfasis: </w:t>
      </w:r>
      <w:r w:rsidRPr="004E6D1C">
        <w:rPr>
          <w:rFonts w:ascii="Arial" w:eastAsia="Times New Roman" w:hAnsi="Arial" w:cs="Arial"/>
          <w:szCs w:val="20"/>
          <w:lang w:eastAsia="es-MX"/>
        </w:rPr>
        <w:t>En las personas.</w:t>
      </w:r>
    </w:p>
    <w:p w:rsidR="00AD024D" w:rsidRDefault="00AD024D" w:rsidP="00CB2917">
      <w:pPr>
        <w:spacing w:after="0" w:line="276" w:lineRule="auto"/>
        <w:ind w:right="49"/>
        <w:jc w:val="both"/>
        <w:rPr>
          <w:rFonts w:ascii="Arial" w:eastAsia="Times New Roman" w:hAnsi="Arial" w:cs="Arial"/>
          <w:szCs w:val="20"/>
          <w:lang w:eastAsia="es-MX"/>
        </w:rPr>
      </w:pPr>
    </w:p>
    <w:p w:rsidR="00AD024D" w:rsidRDefault="00AD024D" w:rsidP="00CB2917">
      <w:pPr>
        <w:spacing w:after="0" w:line="276" w:lineRule="auto"/>
        <w:ind w:right="49"/>
        <w:jc w:val="both"/>
      </w:pPr>
    </w:p>
    <w:p w:rsidR="00AD024D" w:rsidRDefault="00AD024D"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bookmarkStart w:id="0" w:name="_GoBack"/>
      <w:bookmarkEnd w:id="0"/>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0C39F7" w:rsidRDefault="000C39F7" w:rsidP="00CB2917">
      <w:pPr>
        <w:spacing w:after="0" w:line="276" w:lineRule="auto"/>
        <w:ind w:right="49"/>
        <w:jc w:val="both"/>
      </w:pPr>
    </w:p>
    <w:p w:rsidR="00AD024D" w:rsidRDefault="00AD024D" w:rsidP="00CB2917">
      <w:pPr>
        <w:spacing w:after="0" w:line="276" w:lineRule="auto"/>
        <w:ind w:right="49"/>
        <w:jc w:val="both"/>
      </w:pPr>
    </w:p>
    <w:sdt>
      <w:sdtPr>
        <w:rPr>
          <w:lang w:val="es-ES"/>
        </w:rPr>
        <w:id w:val="1802028910"/>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rsidR="000C39F7" w:rsidRDefault="000C39F7">
          <w:pPr>
            <w:pStyle w:val="Ttulo1"/>
          </w:pPr>
          <w:r>
            <w:rPr>
              <w:lang w:val="es-ES"/>
            </w:rPr>
            <w:t>Trabajos citados</w:t>
          </w:r>
        </w:p>
        <w:p w:rsidR="000C39F7" w:rsidRDefault="000C39F7" w:rsidP="000C39F7">
          <w:pPr>
            <w:pStyle w:val="Bibliografa"/>
            <w:ind w:left="720" w:hanging="720"/>
            <w:rPr>
              <w:noProof/>
              <w:lang w:val="es-ES"/>
            </w:rPr>
          </w:pPr>
          <w:r>
            <w:fldChar w:fldCharType="begin"/>
          </w:r>
          <w:r>
            <w:instrText>BIBLIOGRAPHY</w:instrText>
          </w:r>
          <w:r>
            <w:fldChar w:fldCharType="separate"/>
          </w:r>
          <w:r>
            <w:rPr>
              <w:noProof/>
              <w:lang w:val="es-ES"/>
            </w:rPr>
            <w:t>1ABRIL2002. (2012). Historia de las escuelas de la administración. https://www.youtube.com/watch?v=1RWnJFzmaKU&amp;t=30s.</w:t>
          </w:r>
        </w:p>
        <w:p w:rsidR="000C39F7" w:rsidRDefault="000C39F7" w:rsidP="000C39F7">
          <w:pPr>
            <w:pStyle w:val="Bibliografa"/>
            <w:ind w:left="720" w:hanging="720"/>
            <w:rPr>
              <w:noProof/>
              <w:lang w:val="es-ES"/>
            </w:rPr>
          </w:pPr>
          <w:r>
            <w:rPr>
              <w:noProof/>
              <w:lang w:val="es-ES"/>
            </w:rPr>
            <w:t>UnADM. (2018). ¿Qué es gestionar y administrar?</w:t>
          </w:r>
        </w:p>
        <w:p w:rsidR="000C39F7" w:rsidRDefault="000C39F7" w:rsidP="000C39F7">
          <w:r>
            <w:rPr>
              <w:b/>
              <w:bCs/>
            </w:rPr>
            <w:fldChar w:fldCharType="end"/>
          </w:r>
        </w:p>
      </w:sdtContent>
    </w:sdt>
    <w:p w:rsidR="00AD024D" w:rsidRDefault="00AD024D" w:rsidP="00CB2917">
      <w:pPr>
        <w:spacing w:after="0" w:line="276" w:lineRule="auto"/>
        <w:ind w:right="49"/>
        <w:jc w:val="both"/>
      </w:pPr>
    </w:p>
    <w:sectPr w:rsidR="00AD02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17"/>
    <w:rsid w:val="000C39F7"/>
    <w:rsid w:val="00146B2F"/>
    <w:rsid w:val="00373FE3"/>
    <w:rsid w:val="00AD024D"/>
    <w:rsid w:val="00CB2917"/>
    <w:rsid w:val="00DA7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917"/>
    <w:pPr>
      <w:spacing w:after="160" w:line="259" w:lineRule="auto"/>
    </w:pPr>
  </w:style>
  <w:style w:type="paragraph" w:styleId="Ttulo1">
    <w:name w:val="heading 1"/>
    <w:basedOn w:val="Normal"/>
    <w:next w:val="Normal"/>
    <w:link w:val="Ttulo1Car"/>
    <w:uiPriority w:val="9"/>
    <w:qFormat/>
    <w:rsid w:val="000C39F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CB2917"/>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2917"/>
    <w:rPr>
      <w:rFonts w:ascii="Arial" w:eastAsiaTheme="majorEastAsia" w:hAnsi="Arial" w:cstheme="majorBidi"/>
      <w:b/>
      <w:bCs/>
      <w:szCs w:val="26"/>
    </w:rPr>
  </w:style>
  <w:style w:type="paragraph" w:styleId="Ttulo">
    <w:name w:val="Title"/>
    <w:basedOn w:val="Normal"/>
    <w:next w:val="Normal"/>
    <w:link w:val="TtuloCar"/>
    <w:uiPriority w:val="10"/>
    <w:qFormat/>
    <w:rsid w:val="00CB2917"/>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CB2917"/>
    <w:rPr>
      <w:rFonts w:ascii="Arial" w:eastAsiaTheme="majorEastAsia" w:hAnsi="Arial" w:cstheme="majorBidi"/>
      <w:b/>
      <w:spacing w:val="5"/>
      <w:kern w:val="28"/>
      <w:sz w:val="24"/>
      <w:szCs w:val="52"/>
    </w:rPr>
  </w:style>
  <w:style w:type="paragraph" w:styleId="Textodeglobo">
    <w:name w:val="Balloon Text"/>
    <w:basedOn w:val="Normal"/>
    <w:link w:val="TextodegloboCar"/>
    <w:uiPriority w:val="99"/>
    <w:semiHidden/>
    <w:unhideWhenUsed/>
    <w:rsid w:val="00CB2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917"/>
    <w:rPr>
      <w:rFonts w:ascii="Tahoma" w:hAnsi="Tahoma" w:cs="Tahoma"/>
      <w:sz w:val="16"/>
      <w:szCs w:val="16"/>
    </w:rPr>
  </w:style>
  <w:style w:type="character" w:customStyle="1" w:styleId="Ttulo1Car">
    <w:name w:val="Título 1 Car"/>
    <w:basedOn w:val="Fuentedeprrafopredeter"/>
    <w:link w:val="Ttulo1"/>
    <w:uiPriority w:val="9"/>
    <w:rsid w:val="000C39F7"/>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0C3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917"/>
    <w:pPr>
      <w:spacing w:after="160" w:line="259" w:lineRule="auto"/>
    </w:pPr>
  </w:style>
  <w:style w:type="paragraph" w:styleId="Ttulo1">
    <w:name w:val="heading 1"/>
    <w:basedOn w:val="Normal"/>
    <w:next w:val="Normal"/>
    <w:link w:val="Ttulo1Car"/>
    <w:uiPriority w:val="9"/>
    <w:qFormat/>
    <w:rsid w:val="000C39F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CB2917"/>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2917"/>
    <w:rPr>
      <w:rFonts w:ascii="Arial" w:eastAsiaTheme="majorEastAsia" w:hAnsi="Arial" w:cstheme="majorBidi"/>
      <w:b/>
      <w:bCs/>
      <w:szCs w:val="26"/>
    </w:rPr>
  </w:style>
  <w:style w:type="paragraph" w:styleId="Ttulo">
    <w:name w:val="Title"/>
    <w:basedOn w:val="Normal"/>
    <w:next w:val="Normal"/>
    <w:link w:val="TtuloCar"/>
    <w:uiPriority w:val="10"/>
    <w:qFormat/>
    <w:rsid w:val="00CB2917"/>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CB2917"/>
    <w:rPr>
      <w:rFonts w:ascii="Arial" w:eastAsiaTheme="majorEastAsia" w:hAnsi="Arial" w:cstheme="majorBidi"/>
      <w:b/>
      <w:spacing w:val="5"/>
      <w:kern w:val="28"/>
      <w:sz w:val="24"/>
      <w:szCs w:val="52"/>
    </w:rPr>
  </w:style>
  <w:style w:type="paragraph" w:styleId="Textodeglobo">
    <w:name w:val="Balloon Text"/>
    <w:basedOn w:val="Normal"/>
    <w:link w:val="TextodegloboCar"/>
    <w:uiPriority w:val="99"/>
    <w:semiHidden/>
    <w:unhideWhenUsed/>
    <w:rsid w:val="00CB2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917"/>
    <w:rPr>
      <w:rFonts w:ascii="Tahoma" w:hAnsi="Tahoma" w:cs="Tahoma"/>
      <w:sz w:val="16"/>
      <w:szCs w:val="16"/>
    </w:rPr>
  </w:style>
  <w:style w:type="character" w:customStyle="1" w:styleId="Ttulo1Car">
    <w:name w:val="Título 1 Car"/>
    <w:basedOn w:val="Fuentedeprrafopredeter"/>
    <w:link w:val="Ttulo1"/>
    <w:uiPriority w:val="9"/>
    <w:rsid w:val="000C39F7"/>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0C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1AB121</b:Tag>
    <b:SourceType>Misc</b:SourceType>
    <b:Guid>{524A8B01-CFB8-43B4-ACC2-844879AF7888}</b:Guid>
    <b:Title>Historia de las escuelas de la administración</b:Title>
    <b:Year>2012</b:Year>
    <b:Author>
      <b:Author>
        <b:NameList>
          <b:Person>
            <b:Last>1ABRIL2002</b:Last>
          </b:Person>
        </b:NameList>
      </b:Author>
    </b:Author>
    <b:Medium>Video</b:Medium>
    <b:Publisher>https://www.youtube.com/watch?v=1RWnJFzmaKU&amp;t=30s</b:Publisher>
    <b:RefOrder>1</b:RefOrder>
  </b:Source>
  <b:Source>
    <b:Tag>UnA18</b:Tag>
    <b:SourceType>ElectronicSource</b:SourceType>
    <b:Guid>{4407D2CF-3A02-4498-BB67-DEC91FE268C0}</b:Guid>
    <b:Title>¿Qué es gestionar y administrar?</b:Title>
    <b:Year>2018</b:Year>
    <b:Author>
      <b:Author>
        <b:NameList>
          <b:Person>
            <b:Last>UnADM</b:Last>
          </b:Person>
        </b:NameList>
      </b:Author>
    </b:Author>
    <b:RefOrder>2</b:RefOrder>
  </b:Source>
</b:Sources>
</file>

<file path=customXml/itemProps1.xml><?xml version="1.0" encoding="utf-8"?>
<ds:datastoreItem xmlns:ds="http://schemas.openxmlformats.org/officeDocument/2006/customXml" ds:itemID="{6A04FDDC-72EC-4776-8EE1-7DB6DA79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FLORES</dc:creator>
  <cp:lastModifiedBy>RICARDO FLORES</cp:lastModifiedBy>
  <cp:revision>3</cp:revision>
  <dcterms:created xsi:type="dcterms:W3CDTF">2018-02-01T18:48:00Z</dcterms:created>
  <dcterms:modified xsi:type="dcterms:W3CDTF">2018-02-01T21:30:00Z</dcterms:modified>
</cp:coreProperties>
</file>