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CCD" w:rsidRPr="003D2242" w:rsidRDefault="00E20CCD" w:rsidP="00E20CCD">
      <w:pPr>
        <w:spacing w:line="360" w:lineRule="auto"/>
        <w:jc w:val="both"/>
        <w:rPr>
          <w:rFonts w:ascii="Times New Roman" w:hAnsi="Times New Roman" w:cs="Times New Roman"/>
          <w:color w:val="FF0000"/>
          <w:sz w:val="24"/>
        </w:rPr>
      </w:pPr>
      <w:r w:rsidRPr="003D2242">
        <w:rPr>
          <w:rFonts w:ascii="Times New Roman" w:hAnsi="Times New Roman" w:cs="Times New Roman"/>
          <w:color w:val="FF0000"/>
          <w:sz w:val="24"/>
        </w:rPr>
        <w:t>La autora Erika María considera la competencia oral y escrita en:</w:t>
      </w:r>
    </w:p>
    <w:p w:rsidR="00B737BA" w:rsidRDefault="00E20CCD" w:rsidP="003D2242">
      <w:pPr>
        <w:pStyle w:val="Prrafodelista"/>
        <w:numPr>
          <w:ilvl w:val="0"/>
          <w:numId w:val="1"/>
        </w:numPr>
        <w:spacing w:line="360" w:lineRule="auto"/>
        <w:ind w:left="1775" w:hanging="357"/>
        <w:jc w:val="both"/>
        <w:rPr>
          <w:rFonts w:ascii="Times New Roman" w:hAnsi="Times New Roman" w:cs="Times New Roman"/>
          <w:sz w:val="24"/>
        </w:rPr>
      </w:pPr>
      <w:r>
        <w:rPr>
          <w:rFonts w:ascii="Times New Roman" w:hAnsi="Times New Roman" w:cs="Times New Roman"/>
          <w:sz w:val="24"/>
        </w:rPr>
        <w:t>La capacidad para comunicarse oralmente y por escrito es una de las competencias críticas en la educación universitaria, entendidas como un conjunto de habilidades y hábitos mentales que forman parte del capital intelectual de los estudiantes y permanecen inmunes al cambio acelerado de la información, cuando los hechos y los datos se hayan olvidado.</w:t>
      </w:r>
    </w:p>
    <w:p w:rsidR="00E20CCD" w:rsidRDefault="00E20CCD" w:rsidP="003D2242">
      <w:pPr>
        <w:pStyle w:val="Prrafodelista"/>
        <w:numPr>
          <w:ilvl w:val="0"/>
          <w:numId w:val="1"/>
        </w:numPr>
        <w:spacing w:line="360" w:lineRule="auto"/>
        <w:ind w:left="1775" w:hanging="357"/>
        <w:jc w:val="both"/>
        <w:rPr>
          <w:rFonts w:ascii="Times New Roman" w:hAnsi="Times New Roman" w:cs="Times New Roman"/>
          <w:sz w:val="24"/>
        </w:rPr>
      </w:pPr>
      <w:r>
        <w:rPr>
          <w:rFonts w:ascii="Times New Roman" w:hAnsi="Times New Roman" w:cs="Times New Roman"/>
          <w:sz w:val="24"/>
        </w:rPr>
        <w:t>Los lenguajes oral y escrito son un instrumento esencial para el aprendizaje y una condición para el desarrollo de otras competencias en la universidad, por lo tanto, deben tener un lugar en el currícula de todos los programas de formación, no solamente en los de las carreras humanísticas y literarias.</w:t>
      </w:r>
    </w:p>
    <w:p w:rsidR="00E20CCD" w:rsidRDefault="00E20CCD" w:rsidP="003D2242">
      <w:pPr>
        <w:pStyle w:val="Prrafodelista"/>
        <w:numPr>
          <w:ilvl w:val="0"/>
          <w:numId w:val="1"/>
        </w:numPr>
        <w:spacing w:line="360" w:lineRule="auto"/>
        <w:ind w:left="1775" w:hanging="357"/>
        <w:jc w:val="both"/>
        <w:rPr>
          <w:rFonts w:ascii="Times New Roman" w:hAnsi="Times New Roman" w:cs="Times New Roman"/>
          <w:sz w:val="24"/>
        </w:rPr>
      </w:pPr>
      <w:r>
        <w:rPr>
          <w:rFonts w:ascii="Times New Roman" w:hAnsi="Times New Roman" w:cs="Times New Roman"/>
          <w:sz w:val="24"/>
        </w:rPr>
        <w:t>La formación de la competencia para leer, escribir y expresarse oralmente debe ser uno de los propósitos centrales de la formación universitaria en el nivel de pregrado.</w:t>
      </w:r>
    </w:p>
    <w:p w:rsidR="00E20CCD" w:rsidRDefault="00E20CCD" w:rsidP="003D2242">
      <w:pPr>
        <w:pStyle w:val="Prrafodelista"/>
        <w:numPr>
          <w:ilvl w:val="0"/>
          <w:numId w:val="1"/>
        </w:numPr>
        <w:spacing w:line="360" w:lineRule="auto"/>
        <w:ind w:left="1775" w:hanging="357"/>
        <w:jc w:val="both"/>
        <w:rPr>
          <w:rFonts w:ascii="Times New Roman" w:hAnsi="Times New Roman" w:cs="Times New Roman"/>
          <w:sz w:val="24"/>
        </w:rPr>
      </w:pPr>
      <w:r>
        <w:rPr>
          <w:rFonts w:ascii="Times New Roman" w:hAnsi="Times New Roman" w:cs="Times New Roman"/>
          <w:sz w:val="24"/>
        </w:rPr>
        <w:t>La lectura, la escritura y la expresión oral no son habilidades genéricas,</w:t>
      </w:r>
      <w:r w:rsidR="00CA0111">
        <w:rPr>
          <w:rFonts w:ascii="Times New Roman" w:hAnsi="Times New Roman" w:cs="Times New Roman"/>
          <w:sz w:val="24"/>
        </w:rPr>
        <w:t xml:space="preserve"> que puedan aplicarse indistintamente en cualquier situación comunicativa, sino modos discursivos que no pueden entenderse separados de las prácticas fundamentales ni de la pedagogía de cada disciplina.</w:t>
      </w:r>
    </w:p>
    <w:p w:rsidR="00CA0111" w:rsidRDefault="00CA0111" w:rsidP="003D2242">
      <w:pPr>
        <w:pStyle w:val="Prrafodelista"/>
        <w:numPr>
          <w:ilvl w:val="0"/>
          <w:numId w:val="1"/>
        </w:numPr>
        <w:spacing w:line="360" w:lineRule="auto"/>
        <w:ind w:left="1775" w:hanging="357"/>
        <w:jc w:val="both"/>
        <w:rPr>
          <w:rFonts w:ascii="Times New Roman" w:hAnsi="Times New Roman" w:cs="Times New Roman"/>
          <w:sz w:val="24"/>
        </w:rPr>
      </w:pPr>
      <w:r>
        <w:rPr>
          <w:rFonts w:ascii="Times New Roman" w:hAnsi="Times New Roman" w:cs="Times New Roman"/>
          <w:sz w:val="24"/>
        </w:rPr>
        <w:t>En consecuencia, la formación de la competencia oral y escrita en la universidad debe asumirse, no como una actividad colateral independiente de las disciplinas del conocimiento, sino como un componente constitutivo de ellas.</w:t>
      </w:r>
    </w:p>
    <w:p w:rsidR="00CA0111" w:rsidRDefault="00CA0111" w:rsidP="003D2242">
      <w:pPr>
        <w:pStyle w:val="Prrafodelista"/>
        <w:numPr>
          <w:ilvl w:val="0"/>
          <w:numId w:val="1"/>
        </w:numPr>
        <w:spacing w:line="360" w:lineRule="auto"/>
        <w:ind w:left="1775" w:hanging="357"/>
        <w:jc w:val="both"/>
        <w:rPr>
          <w:rFonts w:ascii="Times New Roman" w:hAnsi="Times New Roman" w:cs="Times New Roman"/>
          <w:sz w:val="24"/>
        </w:rPr>
      </w:pPr>
      <w:r>
        <w:rPr>
          <w:rFonts w:ascii="Times New Roman" w:hAnsi="Times New Roman" w:cs="Times New Roman"/>
          <w:sz w:val="24"/>
        </w:rPr>
        <w:t>Aunque la cultura universitaria privilegia el discurso académico sobre otras formas discursivas, la formación de la competencia comunicativa en los siclos básicos también debe contribuir a ampliar el capital cultural de los estudiantes, mediante la lectura de las grandes obras del pensamiento y el contacto con otro tipo de géneros, practicas textuales y formas de hablar y de escribir que resultan indispensables para la compresión de sí mismos  y de formas diferentes de pensar y de sentir.</w:t>
      </w:r>
    </w:p>
    <w:p w:rsidR="00CA0111" w:rsidRPr="00E20CCD" w:rsidRDefault="00CA0111" w:rsidP="003D2242">
      <w:pPr>
        <w:pStyle w:val="Prrafodelista"/>
        <w:numPr>
          <w:ilvl w:val="0"/>
          <w:numId w:val="1"/>
        </w:numPr>
        <w:spacing w:line="360" w:lineRule="auto"/>
        <w:ind w:left="1775" w:hanging="357"/>
        <w:jc w:val="both"/>
        <w:rPr>
          <w:rFonts w:ascii="Times New Roman" w:hAnsi="Times New Roman" w:cs="Times New Roman"/>
          <w:sz w:val="24"/>
        </w:rPr>
      </w:pPr>
      <w:r>
        <w:rPr>
          <w:rFonts w:ascii="Times New Roman" w:hAnsi="Times New Roman" w:cs="Times New Roman"/>
          <w:sz w:val="24"/>
        </w:rPr>
        <w:t xml:space="preserve">Los lenguajes oral y escrito no constituyen un código </w:t>
      </w:r>
      <w:r w:rsidR="003D2242">
        <w:rPr>
          <w:rFonts w:ascii="Times New Roman" w:hAnsi="Times New Roman" w:cs="Times New Roman"/>
          <w:sz w:val="24"/>
        </w:rPr>
        <w:t xml:space="preserve">independiente de otros sistemas de representación, por el contrario, son solo un componente más del variado repertorio de herramientas simbólicas que median los distintos modos </w:t>
      </w:r>
      <w:r w:rsidR="003D2242">
        <w:rPr>
          <w:rFonts w:ascii="Times New Roman" w:hAnsi="Times New Roman" w:cs="Times New Roman"/>
          <w:sz w:val="24"/>
        </w:rPr>
        <w:lastRenderedPageBreak/>
        <w:t>de actuar de los seres humanos.</w:t>
      </w:r>
      <w:r w:rsidR="00997E2B">
        <w:rPr>
          <w:rFonts w:ascii="Times New Roman" w:hAnsi="Times New Roman" w:cs="Times New Roman"/>
          <w:sz w:val="24"/>
        </w:rPr>
        <w:t xml:space="preserve">  </w:t>
      </w:r>
      <w:sdt>
        <w:sdtPr>
          <w:rPr>
            <w:rFonts w:ascii="Times New Roman" w:hAnsi="Times New Roman" w:cs="Times New Roman"/>
            <w:sz w:val="24"/>
          </w:rPr>
          <w:id w:val="-2010203423"/>
          <w:citation/>
        </w:sdtPr>
        <w:sdtContent>
          <w:r w:rsidR="00997E2B">
            <w:rPr>
              <w:rFonts w:ascii="Times New Roman" w:hAnsi="Times New Roman" w:cs="Times New Roman"/>
              <w:sz w:val="24"/>
            </w:rPr>
            <w:fldChar w:fldCharType="begin"/>
          </w:r>
          <w:r w:rsidR="00997E2B">
            <w:rPr>
              <w:rFonts w:ascii="Times New Roman" w:hAnsi="Times New Roman" w:cs="Times New Roman"/>
              <w:sz w:val="24"/>
            </w:rPr>
            <w:instrText xml:space="preserve">CITATION Lar126 \p 78-80 \l 2058 </w:instrText>
          </w:r>
          <w:r w:rsidR="00997E2B">
            <w:rPr>
              <w:rFonts w:ascii="Times New Roman" w:hAnsi="Times New Roman" w:cs="Times New Roman"/>
              <w:sz w:val="24"/>
            </w:rPr>
            <w:fldChar w:fldCharType="separate"/>
          </w:r>
          <w:r w:rsidR="00997E2B" w:rsidRPr="00997E2B">
            <w:rPr>
              <w:rFonts w:ascii="Times New Roman" w:hAnsi="Times New Roman" w:cs="Times New Roman"/>
              <w:noProof/>
              <w:sz w:val="24"/>
            </w:rPr>
            <w:t>(Fundamentos de investigacion, 2012, págs. 78-80)</w:t>
          </w:r>
          <w:r w:rsidR="00997E2B">
            <w:rPr>
              <w:rFonts w:ascii="Times New Roman" w:hAnsi="Times New Roman" w:cs="Times New Roman"/>
              <w:sz w:val="24"/>
            </w:rPr>
            <w:fldChar w:fldCharType="end"/>
          </w:r>
        </w:sdtContent>
      </w:sdt>
      <w:bookmarkStart w:id="0" w:name="_GoBack"/>
      <w:bookmarkEnd w:id="0"/>
    </w:p>
    <w:sectPr w:rsidR="00CA0111" w:rsidRPr="00E20CCD" w:rsidSect="00E20CCD">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D1DB9"/>
    <w:multiLevelType w:val="hybridMultilevel"/>
    <w:tmpl w:val="F8DCA8A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CCD"/>
    <w:rsid w:val="003D2242"/>
    <w:rsid w:val="00997E2B"/>
    <w:rsid w:val="00B737BA"/>
    <w:rsid w:val="00CA0111"/>
    <w:rsid w:val="00E20C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397970-E715-4410-B08E-3D7D0816A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20C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286996">
      <w:bodyDiv w:val="1"/>
      <w:marLeft w:val="0"/>
      <w:marRight w:val="0"/>
      <w:marTop w:val="0"/>
      <w:marBottom w:val="0"/>
      <w:divBdr>
        <w:top w:val="none" w:sz="0" w:space="0" w:color="auto"/>
        <w:left w:val="none" w:sz="0" w:space="0" w:color="auto"/>
        <w:bottom w:val="none" w:sz="0" w:space="0" w:color="auto"/>
        <w:right w:val="none" w:sz="0" w:space="0" w:color="auto"/>
      </w:divBdr>
    </w:div>
    <w:div w:id="133025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Lar126</b:Tag>
    <b:SourceType>BookSection</b:SourceType>
    <b:Guid>{A40AB167-F849-4003-86CD-A202BED1ED88}</b:Guid>
    <b:BookTitle>Fundamentos de investigacion</b:BookTitle>
    <b:Year>2012</b:Year>
    <b:Publisher>Alfaomega</b:Publisher>
    <b:Author>
      <b:BookAuthor>
        <b:NameList>
          <b:Person>
            <b:Last>Lara Muñoz</b:Last>
            <b:Middle>Maria</b:Middle>
            <b:First>Erika</b:First>
          </b:Person>
        </b:NameList>
      </b:BookAuthor>
    </b:Author>
    <b:RefOrder>1</b:RefOrder>
  </b:Source>
</b:Sources>
</file>

<file path=customXml/itemProps1.xml><?xml version="1.0" encoding="utf-8"?>
<ds:datastoreItem xmlns:ds="http://schemas.openxmlformats.org/officeDocument/2006/customXml" ds:itemID="{51A86A80-C247-4012-86C4-ADBD66029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344</Words>
  <Characters>1897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Jose Villegas Morelos</dc:creator>
  <cp:keywords/>
  <dc:description/>
  <cp:lastModifiedBy>Pedro Jose Villegas Morelos</cp:lastModifiedBy>
  <cp:revision>2</cp:revision>
  <dcterms:created xsi:type="dcterms:W3CDTF">2016-10-22T20:11:00Z</dcterms:created>
  <dcterms:modified xsi:type="dcterms:W3CDTF">2016-10-27T14:01:00Z</dcterms:modified>
</cp:coreProperties>
</file>