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D0" w:rsidRDefault="00A23FD0" w:rsidP="00A23FD0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 la documentación es un elemento</w:t>
      </w:r>
      <w:r>
        <w:rPr>
          <w:rFonts w:ascii="Arial" w:hAnsi="Arial" w:cs="Arial"/>
          <w:color w:val="FF0000"/>
          <w:sz w:val="24"/>
        </w:rPr>
        <w:t>:</w:t>
      </w:r>
    </w:p>
    <w:p w:rsidR="00A23FD0" w:rsidRDefault="00A23FD0" w:rsidP="00A23FD0">
      <w:pPr>
        <w:jc w:val="both"/>
        <w:rPr>
          <w:rFonts w:ascii="Arial" w:hAnsi="Arial" w:cs="Arial"/>
          <w:sz w:val="24"/>
        </w:rPr>
      </w:pPr>
    </w:p>
    <w:p w:rsidR="00061B1B" w:rsidRDefault="003C36A8" w:rsidP="003C36A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dispone de documentos complementarios a su charla, debe pensar cuál es el mejor momento para entregarlos:</w:t>
      </w:r>
    </w:p>
    <w:p w:rsidR="00061B1B" w:rsidRDefault="003C36A8" w:rsidP="003C36A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-Con antelación al día de su intervención, tiene la ventaja de que habrán podido ser estudiados y sus palabras serán mejor comprendidas.</w:t>
      </w:r>
    </w:p>
    <w:p w:rsidR="00061B1B" w:rsidRDefault="003C36A8" w:rsidP="003C36A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-Si la entrega el mismo día del acto, debe hacerlo en el preciso momento en que vaya a ser usada, para evitar distracciones provocadas por la lectura.</w:t>
      </w:r>
    </w:p>
    <w:p w:rsidR="00061B1B" w:rsidRPr="006A028E" w:rsidRDefault="003C36A8" w:rsidP="003C36A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-Si se trata de una documentación para ser usada con posterioridad a sus palabras, siempre entréguela al finalizar el acto.</w:t>
      </w:r>
      <w:r w:rsidR="00A23FD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485000696"/>
          <w:citation/>
        </w:sdtPr>
        <w:sdtContent>
          <w:r w:rsidR="00A23FD0">
            <w:rPr>
              <w:rFonts w:ascii="Arial" w:hAnsi="Arial" w:cs="Arial"/>
              <w:sz w:val="24"/>
            </w:rPr>
            <w:fldChar w:fldCharType="begin"/>
          </w:r>
          <w:r w:rsidR="00A23FD0">
            <w:rPr>
              <w:rFonts w:ascii="Arial" w:hAnsi="Arial" w:cs="Arial"/>
              <w:sz w:val="24"/>
            </w:rPr>
            <w:instrText xml:space="preserve">CITATION Lar1213 \p 102 \l 2058 </w:instrText>
          </w:r>
          <w:r w:rsidR="00A23FD0">
            <w:rPr>
              <w:rFonts w:ascii="Arial" w:hAnsi="Arial" w:cs="Arial"/>
              <w:sz w:val="24"/>
            </w:rPr>
            <w:fldChar w:fldCharType="separate"/>
          </w:r>
          <w:r w:rsidR="00A23FD0" w:rsidRPr="00A23FD0">
            <w:rPr>
              <w:rFonts w:ascii="Arial" w:hAnsi="Arial" w:cs="Arial"/>
              <w:noProof/>
              <w:sz w:val="24"/>
            </w:rPr>
            <w:t>(Fundamentos de investigacion, 2012, pág. 102)</w:t>
          </w:r>
          <w:r w:rsidR="00A23FD0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061B1B" w:rsidRPr="006A028E" w:rsidSect="004F41D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16F"/>
    <w:multiLevelType w:val="hybridMultilevel"/>
    <w:tmpl w:val="53B48CB4"/>
    <w:lvl w:ilvl="0" w:tplc="67189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2419E"/>
    <w:multiLevelType w:val="hybridMultilevel"/>
    <w:tmpl w:val="B8B8E81E"/>
    <w:lvl w:ilvl="0" w:tplc="4AD8A3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C"/>
    <w:rsid w:val="000004BD"/>
    <w:rsid w:val="0004222C"/>
    <w:rsid w:val="00061B1B"/>
    <w:rsid w:val="000978B9"/>
    <w:rsid w:val="003C36A8"/>
    <w:rsid w:val="004F41D9"/>
    <w:rsid w:val="0058684C"/>
    <w:rsid w:val="006A028E"/>
    <w:rsid w:val="0090359A"/>
    <w:rsid w:val="00A10876"/>
    <w:rsid w:val="00A23FD0"/>
    <w:rsid w:val="00AD6077"/>
    <w:rsid w:val="00B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052-2FF2-449A-8F96-B0FFABB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Lar1213</b:Tag>
    <b:SourceType>BookSection</b:SourceType>
    <b:Guid>{DF3641DD-629B-46C9-BCFE-45FC5A3A67BC}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D11AF800-5C74-4F58-9744-DF138DE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2016-10-25T21:40:00Z</dcterms:created>
  <dcterms:modified xsi:type="dcterms:W3CDTF">2016-10-27T14:50:00Z</dcterms:modified>
</cp:coreProperties>
</file>