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1E0" w:rsidRDefault="004E61E0" w:rsidP="00EF2881">
      <w:pPr>
        <w:rPr>
          <w:rFonts w:ascii="Times New Roman" w:hAnsi="Times New Roman" w:cs="Times New Roman"/>
          <w:sz w:val="24"/>
          <w:szCs w:val="24"/>
        </w:rPr>
      </w:pPr>
      <w:r>
        <w:rPr>
          <w:rFonts w:ascii="Times New Roman" w:hAnsi="Times New Roman" w:cs="Times New Roman"/>
          <w:sz w:val="24"/>
          <w:szCs w:val="24"/>
        </w:rPr>
        <w:t>AXIOMAS DE LA COMUNICACIÓN</w:t>
      </w:r>
    </w:p>
    <w:p w:rsidR="004E61E0" w:rsidRDefault="004E61E0" w:rsidP="004E61E0">
      <w:pPr>
        <w:ind w:left="1418"/>
        <w:rPr>
          <w:rFonts w:ascii="Times New Roman" w:hAnsi="Times New Roman" w:cs="Times New Roman"/>
          <w:sz w:val="24"/>
          <w:szCs w:val="24"/>
        </w:rPr>
      </w:pP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 xml:space="preserve">Según Paul </w:t>
      </w:r>
      <w:proofErr w:type="spellStart"/>
      <w:r>
        <w:rPr>
          <w:rFonts w:ascii="Times New Roman" w:hAnsi="Times New Roman" w:cs="Times New Roman"/>
          <w:sz w:val="24"/>
          <w:szCs w:val="24"/>
        </w:rPr>
        <w:t>Watzlawick</w:t>
      </w:r>
      <w:proofErr w:type="spellEnd"/>
      <w:r>
        <w:rPr>
          <w:rFonts w:ascii="Times New Roman" w:hAnsi="Times New Roman" w:cs="Times New Roman"/>
          <w:sz w:val="24"/>
          <w:szCs w:val="24"/>
        </w:rPr>
        <w:t xml:space="preserve"> (1971) en su libro Teoría de la comunicación humana existen cinco axiomas se consideran axiomas porque su cumplimiento es indefectible en otros términos reflejan condiciones de hecho en la comunicación humana que nunca se hallan ausentes. En otras palabras: el cumplimiento de estos axiomas puede por lógica. No verificarse</w:t>
      </w: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1.- Es imposible no comunicarse</w:t>
      </w:r>
      <w:r w:rsidR="00EF2881">
        <w:rPr>
          <w:rFonts w:ascii="Times New Roman" w:hAnsi="Times New Roman" w:cs="Times New Roman"/>
          <w:sz w:val="24"/>
          <w:szCs w:val="24"/>
        </w:rPr>
        <w:t>: Todo</w:t>
      </w:r>
      <w:r>
        <w:rPr>
          <w:rFonts w:ascii="Times New Roman" w:hAnsi="Times New Roman" w:cs="Times New Roman"/>
          <w:sz w:val="24"/>
          <w:szCs w:val="24"/>
        </w:rPr>
        <w:t xml:space="preserve"> acto humano aun silencio o la </w:t>
      </w:r>
      <w:r w:rsidRPr="00961EB5">
        <w:rPr>
          <w:rFonts w:ascii="Times New Roman" w:hAnsi="Times New Roman" w:cs="Times New Roman"/>
          <w:sz w:val="24"/>
          <w:szCs w:val="24"/>
        </w:rPr>
        <w:t>inmovilidad</w:t>
      </w:r>
      <w:r>
        <w:rPr>
          <w:rFonts w:ascii="Times New Roman" w:hAnsi="Times New Roman" w:cs="Times New Roman"/>
          <w:sz w:val="24"/>
          <w:szCs w:val="24"/>
        </w:rPr>
        <w:t xml:space="preserve"> comunica un mensaje que debe ser descifrado de acuerdo con el contexto en el que lo desarrolla.</w:t>
      </w: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2.-La comunicación tiene un nivel de contenido o referencial y otro de relaciones o conativo: La comunicación contiene y trasmite información (nivel referencial) y además determina y condiciona el tipo de relaciones entre las personas (nivel conativo).</w:t>
      </w: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3.-La puntuación de los hechos determina la comunicación: Dependiendo de cómo y en qué momento percibe la persona la secuencia de hechos acaecidos, determinara su nivel de intervención en los procesos de comunicación.</w:t>
      </w: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4.-La comunicación tiene un contenido digital y otro analógico: El contenido digital o lenguaje codificado (simbólico) es el que trasmite la información referencial en cambio el analógico contiene varias expresiones no verbales o metalingüística, que muchas veces determina mejor y con mayor fidelidad la intención del sujeto que se comunica.</w:t>
      </w:r>
    </w:p>
    <w:p w:rsidR="004E61E0" w:rsidRDefault="004E61E0" w:rsidP="00EF2881">
      <w:pPr>
        <w:spacing w:line="360" w:lineRule="auto"/>
        <w:ind w:left="1418"/>
        <w:rPr>
          <w:rFonts w:ascii="Times New Roman" w:hAnsi="Times New Roman" w:cs="Times New Roman"/>
          <w:sz w:val="24"/>
          <w:szCs w:val="24"/>
        </w:rPr>
      </w:pPr>
      <w:r>
        <w:rPr>
          <w:rFonts w:ascii="Times New Roman" w:hAnsi="Times New Roman" w:cs="Times New Roman"/>
          <w:sz w:val="24"/>
          <w:szCs w:val="24"/>
        </w:rPr>
        <w:t>5.- La comunicación genera relaciones simétricas y complementarias: Las relaciones simétricas son aquellas las cuales no hay una jerarquía predomínate entre los comunicantes, tiende a generar relaciones horizontales, sin embargo, en el extremo patológico genera las escaldadas simétricas, en las cuales ninguno cede un argumento.</w:t>
      </w:r>
      <w:r w:rsidR="00EF2881">
        <w:rPr>
          <w:rFonts w:ascii="Times New Roman" w:hAnsi="Times New Roman" w:cs="Times New Roman"/>
          <w:sz w:val="24"/>
          <w:szCs w:val="24"/>
        </w:rPr>
        <w:t xml:space="preserve"> </w:t>
      </w:r>
      <w:sdt>
        <w:sdtPr>
          <w:rPr>
            <w:rFonts w:ascii="Times New Roman" w:hAnsi="Times New Roman" w:cs="Times New Roman"/>
            <w:sz w:val="24"/>
            <w:szCs w:val="24"/>
          </w:rPr>
          <w:id w:val="-1916085720"/>
          <w:citation/>
        </w:sdtPr>
        <w:sdtContent>
          <w:r w:rsidR="000B7558">
            <w:rPr>
              <w:rFonts w:ascii="Times New Roman" w:hAnsi="Times New Roman" w:cs="Times New Roman"/>
              <w:sz w:val="24"/>
              <w:szCs w:val="24"/>
            </w:rPr>
            <w:fldChar w:fldCharType="begin"/>
          </w:r>
          <w:r w:rsidR="000B7558">
            <w:rPr>
              <w:rFonts w:ascii="Times New Roman" w:hAnsi="Times New Roman" w:cs="Times New Roman"/>
              <w:sz w:val="24"/>
              <w:szCs w:val="24"/>
            </w:rPr>
            <w:instrText xml:space="preserve">CITATION Lar116 \p 83 \l 2058 </w:instrText>
          </w:r>
          <w:r w:rsidR="000B7558">
            <w:rPr>
              <w:rFonts w:ascii="Times New Roman" w:hAnsi="Times New Roman" w:cs="Times New Roman"/>
              <w:sz w:val="24"/>
              <w:szCs w:val="24"/>
            </w:rPr>
            <w:fldChar w:fldCharType="separate"/>
          </w:r>
          <w:r w:rsidR="000B7558" w:rsidRPr="000B7558">
            <w:rPr>
              <w:rFonts w:ascii="Times New Roman" w:hAnsi="Times New Roman" w:cs="Times New Roman"/>
              <w:noProof/>
              <w:sz w:val="24"/>
              <w:szCs w:val="24"/>
            </w:rPr>
            <w:t>(Lara, 2011, pág. 83)</w:t>
          </w:r>
          <w:r w:rsidR="000B7558">
            <w:rPr>
              <w:rFonts w:ascii="Times New Roman" w:hAnsi="Times New Roman" w:cs="Times New Roman"/>
              <w:sz w:val="24"/>
              <w:szCs w:val="24"/>
            </w:rPr>
            <w:fldChar w:fldCharType="end"/>
          </w:r>
        </w:sdtContent>
      </w:sdt>
    </w:p>
    <w:p w:rsidR="00EF2881" w:rsidRPr="004E61E0" w:rsidRDefault="00EF2881" w:rsidP="004E61E0">
      <w:bookmarkStart w:id="0" w:name="_GoBack"/>
      <w:bookmarkEnd w:id="0"/>
    </w:p>
    <w:sectPr w:rsidR="00EF2881" w:rsidRPr="004E61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E0"/>
    <w:rsid w:val="000B7558"/>
    <w:rsid w:val="00260B4D"/>
    <w:rsid w:val="004E61E0"/>
    <w:rsid w:val="00AB608A"/>
    <w:rsid w:val="00EF2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74271-0A8C-46D3-AF33-07DE9848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1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19724">
      <w:bodyDiv w:val="1"/>
      <w:marLeft w:val="0"/>
      <w:marRight w:val="0"/>
      <w:marTop w:val="0"/>
      <w:marBottom w:val="0"/>
      <w:divBdr>
        <w:top w:val="none" w:sz="0" w:space="0" w:color="auto"/>
        <w:left w:val="none" w:sz="0" w:space="0" w:color="auto"/>
        <w:bottom w:val="none" w:sz="0" w:space="0" w:color="auto"/>
        <w:right w:val="none" w:sz="0" w:space="0" w:color="auto"/>
      </w:divBdr>
    </w:div>
    <w:div w:id="13301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Lar116</b:Tag>
    <b:SourceType>Book</b:SourceType>
    <b:Guid>{86D8E8EB-8584-4F4D-B0E8-1EA953144CE7}</b:Guid>
    <b:Title>Fundamentos de Investigación</b:Title>
    <b:Year>2011</b:Year>
    <b:City>México</b:City>
    <b:Publisher>Alfaomega</b:Publisher>
    <b:Author>
      <b:Author>
        <b:NameList>
          <b:Person>
            <b:Last>Lara</b:Last>
            <b:Middle>María</b:Middle>
            <b:First>Erica</b:First>
          </b:Person>
        </b:NameList>
      </b:Author>
    </b:Author>
    <b:RefOrder>1</b:RefOrder>
  </b:Source>
</b:Sources>
</file>

<file path=customXml/itemProps1.xml><?xml version="1.0" encoding="utf-8"?>
<ds:datastoreItem xmlns:ds="http://schemas.openxmlformats.org/officeDocument/2006/customXml" ds:itemID="{6F3027A3-0B16-4E05-9FCA-0C1AA4AC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garcia pirchs</dc:creator>
  <cp:keywords/>
  <dc:description/>
  <cp:lastModifiedBy>Oswaldo Trujillo Ortiz</cp:lastModifiedBy>
  <cp:revision>2</cp:revision>
  <dcterms:created xsi:type="dcterms:W3CDTF">2016-10-25T20:38:00Z</dcterms:created>
  <dcterms:modified xsi:type="dcterms:W3CDTF">2016-10-27T20:40:00Z</dcterms:modified>
</cp:coreProperties>
</file>