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21" w:rsidRDefault="001F03C5" w:rsidP="001F03C5">
      <w:pPr>
        <w:jc w:val="both"/>
      </w:pPr>
      <w:r w:rsidRPr="001F03C5">
        <w:t>Se utilizó la metáfora de margen, con varios interrogantes para trabajar, entre los que destaco: ¿El margen podría ser el lugar donde siga a resguardo la diversidad?... ¿cómo pensar entonces la inclusión?... ¿qué significa lo auténtico entonces?...”</w:t>
      </w:r>
    </w:p>
    <w:sectPr w:rsidR="00794021" w:rsidSect="00794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F03C5"/>
    <w:rsid w:val="001F03C5"/>
    <w:rsid w:val="00794021"/>
    <w:rsid w:val="00D4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212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Korzeniewski</dc:creator>
  <cp:lastModifiedBy>María Isabel Korzeniewski</cp:lastModifiedBy>
  <cp:revision>1</cp:revision>
  <dcterms:created xsi:type="dcterms:W3CDTF">2016-08-03T18:25:00Z</dcterms:created>
  <dcterms:modified xsi:type="dcterms:W3CDTF">2016-08-03T18:26:00Z</dcterms:modified>
</cp:coreProperties>
</file>