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4316FA" w:rsidP="004316FA">
      <w:pPr>
        <w:jc w:val="both"/>
      </w:pPr>
      <w:r w:rsidRPr="004316FA">
        <w:t xml:space="preserve">Existe un diferencia entre herramientas e instrumentos de evaluación, siendo estos últimos los referidos al "con que evaluar" que permiten valorar una actividad de evaluación. Mientras el autor </w:t>
      </w:r>
      <w:proofErr w:type="spellStart"/>
      <w:r w:rsidRPr="004316FA">
        <w:t>Ingold</w:t>
      </w:r>
      <w:proofErr w:type="spellEnd"/>
      <w:r w:rsidRPr="004316FA">
        <w:t xml:space="preserve"> define a la herramienta como "el objeto que extiende la capacidad del  sujeto para </w:t>
      </w:r>
      <w:proofErr w:type="spellStart"/>
      <w:r w:rsidRPr="004316FA">
        <w:t>oerar</w:t>
      </w:r>
      <w:proofErr w:type="spellEnd"/>
      <w:r w:rsidRPr="004316FA">
        <w:t xml:space="preserve"> en un contexto"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16FA"/>
    <w:rsid w:val="004316FA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2016-08-03T18:45:00Z</dcterms:created>
  <dcterms:modified xsi:type="dcterms:W3CDTF">2016-08-03T18:45:00Z</dcterms:modified>
</cp:coreProperties>
</file>