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A1" w:rsidRPr="00CC23A1" w:rsidRDefault="00CC23A1" w:rsidP="00CC23A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23A1">
        <w:rPr>
          <w:rFonts w:ascii="Times New Roman" w:hAnsi="Times New Roman" w:cs="Times New Roman"/>
          <w:b/>
          <w:sz w:val="24"/>
          <w:szCs w:val="24"/>
          <w:u w:val="single"/>
        </w:rPr>
        <w:t>Real Decreto Legislativo 1/1993, de 24 de septiembre, por el que se aprueba el Texto Refundido de la Ley del Impuesto sobre Transmisiones Patrimoniales y Actos Jurídicos Documentados (Vigente hasta el 01 de Enero de 2016).</w:t>
      </w:r>
    </w:p>
    <w:p w:rsidR="00CC23A1" w:rsidRDefault="00CC23A1" w:rsidP="00CC2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3A1" w:rsidRPr="00CC23A1" w:rsidRDefault="00CC23A1" w:rsidP="00CC23A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C23A1">
        <w:rPr>
          <w:rFonts w:ascii="Times New Roman" w:hAnsi="Times New Roman" w:cs="Times New Roman"/>
          <w:b/>
          <w:sz w:val="24"/>
          <w:szCs w:val="24"/>
        </w:rPr>
        <w:t>Beneficios fiscales</w:t>
      </w:r>
    </w:p>
    <w:p w:rsidR="00CC23A1" w:rsidRPr="00CC23A1" w:rsidRDefault="00CC23A1" w:rsidP="00CC23A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23A1">
        <w:rPr>
          <w:rFonts w:ascii="Times New Roman" w:hAnsi="Times New Roman" w:cs="Times New Roman"/>
          <w:b/>
          <w:sz w:val="24"/>
          <w:szCs w:val="24"/>
          <w:u w:val="single"/>
        </w:rPr>
        <w:t>Artículo 45</w:t>
      </w:r>
    </w:p>
    <w:p w:rsidR="00CC23A1" w:rsidRPr="00CC23A1" w:rsidRDefault="00CC23A1" w:rsidP="00CC23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23A1" w:rsidRPr="00CC23A1" w:rsidRDefault="00CC23A1" w:rsidP="00CC23A1">
      <w:pPr>
        <w:jc w:val="both"/>
        <w:rPr>
          <w:rFonts w:ascii="Times New Roman" w:hAnsi="Times New Roman" w:cs="Times New Roman"/>
          <w:sz w:val="24"/>
          <w:szCs w:val="24"/>
        </w:rPr>
      </w:pPr>
      <w:r w:rsidRPr="00CC23A1">
        <w:rPr>
          <w:rFonts w:ascii="Times New Roman" w:hAnsi="Times New Roman" w:cs="Times New Roman"/>
          <w:sz w:val="24"/>
          <w:szCs w:val="24"/>
        </w:rPr>
        <w:t>Los beneficios fiscales aplicables en cada caso a las tres modalidades de gravamen a que se refiere el artículo 1 de la pre</w:t>
      </w:r>
      <w:r w:rsidRPr="00CC23A1">
        <w:rPr>
          <w:rFonts w:ascii="Times New Roman" w:hAnsi="Times New Roman" w:cs="Times New Roman"/>
          <w:sz w:val="24"/>
          <w:szCs w:val="24"/>
        </w:rPr>
        <w:t>sente Ley serán los siguientes:</w:t>
      </w:r>
    </w:p>
    <w:p w:rsidR="00CC23A1" w:rsidRPr="00CC23A1" w:rsidRDefault="00CC23A1" w:rsidP="00CC23A1">
      <w:pPr>
        <w:jc w:val="both"/>
        <w:rPr>
          <w:rFonts w:ascii="Times New Roman" w:hAnsi="Times New Roman" w:cs="Times New Roman"/>
          <w:sz w:val="24"/>
          <w:szCs w:val="24"/>
        </w:rPr>
      </w:pPr>
      <w:r w:rsidRPr="00CC23A1">
        <w:rPr>
          <w:rFonts w:ascii="Times New Roman" w:hAnsi="Times New Roman" w:cs="Times New Roman"/>
          <w:sz w:val="24"/>
          <w:szCs w:val="24"/>
        </w:rPr>
        <w:t>A) Estarán exentos del impuesto:</w:t>
      </w:r>
    </w:p>
    <w:p w:rsidR="00CC23A1" w:rsidRPr="00CC23A1" w:rsidRDefault="00CC23A1" w:rsidP="00CC23A1">
      <w:pPr>
        <w:jc w:val="both"/>
        <w:rPr>
          <w:rFonts w:ascii="Times New Roman" w:hAnsi="Times New Roman" w:cs="Times New Roman"/>
          <w:sz w:val="24"/>
          <w:szCs w:val="24"/>
        </w:rPr>
      </w:pPr>
      <w:r w:rsidRPr="00CC23A1">
        <w:rPr>
          <w:rFonts w:ascii="Times New Roman" w:hAnsi="Times New Roman" w:cs="Times New Roman"/>
          <w:sz w:val="24"/>
          <w:szCs w:val="24"/>
        </w:rPr>
        <w:t>a) El Estado y las Administraciones públicas territoriales e institucionales y sus establecimientos de beneficencia, cultura, Seguridad Social, docentes o de fines científicos.</w:t>
      </w:r>
    </w:p>
    <w:p w:rsidR="00CC23A1" w:rsidRPr="00CC23A1" w:rsidRDefault="00CC23A1" w:rsidP="00CC23A1">
      <w:pPr>
        <w:jc w:val="both"/>
        <w:rPr>
          <w:rFonts w:ascii="Times New Roman" w:hAnsi="Times New Roman" w:cs="Times New Roman"/>
          <w:sz w:val="24"/>
          <w:szCs w:val="24"/>
        </w:rPr>
      </w:pPr>
      <w:r w:rsidRPr="00CC23A1">
        <w:rPr>
          <w:rFonts w:ascii="Times New Roman" w:hAnsi="Times New Roman" w:cs="Times New Roman"/>
          <w:sz w:val="24"/>
          <w:szCs w:val="24"/>
        </w:rPr>
        <w:t>Esta exención será igualmente aplicable a aquellas entidades cuyo régimen fiscal haya sido equiparado por una Ley al del Estado o al de las Administraciones públicas citadas.</w:t>
      </w:r>
    </w:p>
    <w:p w:rsidR="00CC23A1" w:rsidRPr="00CC23A1" w:rsidRDefault="00CC23A1" w:rsidP="00CC23A1">
      <w:pPr>
        <w:jc w:val="both"/>
        <w:rPr>
          <w:rFonts w:ascii="Times New Roman" w:hAnsi="Times New Roman" w:cs="Times New Roman"/>
          <w:sz w:val="24"/>
          <w:szCs w:val="24"/>
        </w:rPr>
      </w:pPr>
      <w:r w:rsidRPr="00CC23A1">
        <w:rPr>
          <w:rFonts w:ascii="Times New Roman" w:hAnsi="Times New Roman" w:cs="Times New Roman"/>
          <w:sz w:val="24"/>
          <w:szCs w:val="24"/>
        </w:rPr>
        <w:t>b) Las entidades sin fines lucrativos a que se refiere artículo 2 de la Ley 49/2002, de 23 de diciembre, de régimen fiscal de las entidades sin fines lucrativos y de los incentivos fiscales al mecenazgo, que se acojan al régimen fiscal especial en la forma prevista en el artículo 14 de dicha Ley.</w:t>
      </w:r>
    </w:p>
    <w:p w:rsidR="00CC23A1" w:rsidRPr="00CC23A1" w:rsidRDefault="00CC23A1" w:rsidP="00CC23A1">
      <w:pPr>
        <w:jc w:val="both"/>
        <w:rPr>
          <w:rFonts w:ascii="Times New Roman" w:hAnsi="Times New Roman" w:cs="Times New Roman"/>
          <w:sz w:val="24"/>
          <w:szCs w:val="24"/>
        </w:rPr>
      </w:pPr>
      <w:r w:rsidRPr="00CC23A1">
        <w:rPr>
          <w:rFonts w:ascii="Times New Roman" w:hAnsi="Times New Roman" w:cs="Times New Roman"/>
          <w:sz w:val="24"/>
          <w:szCs w:val="24"/>
        </w:rPr>
        <w:t>A la autoliquidación en que se aplique la exención se acompañará la documentación que acredite el derecho a la exención.</w:t>
      </w:r>
    </w:p>
    <w:p w:rsidR="00CC23A1" w:rsidRPr="00CC23A1" w:rsidRDefault="00CC23A1" w:rsidP="00CC23A1">
      <w:pPr>
        <w:jc w:val="both"/>
        <w:rPr>
          <w:rFonts w:ascii="Times New Roman" w:hAnsi="Times New Roman" w:cs="Times New Roman"/>
          <w:sz w:val="24"/>
          <w:szCs w:val="24"/>
        </w:rPr>
      </w:pPr>
      <w:r w:rsidRPr="00CC23A1">
        <w:rPr>
          <w:rFonts w:ascii="Times New Roman" w:hAnsi="Times New Roman" w:cs="Times New Roman"/>
          <w:sz w:val="24"/>
          <w:szCs w:val="24"/>
        </w:rPr>
        <w:t>c) Las cajas de ahorro y las fundaciones bancarias, por las adquisiciones directamente destinadas a su obra social.</w:t>
      </w:r>
    </w:p>
    <w:p w:rsidR="00CC23A1" w:rsidRPr="00CC23A1" w:rsidRDefault="00CC23A1" w:rsidP="00CC23A1">
      <w:pPr>
        <w:jc w:val="both"/>
        <w:rPr>
          <w:rFonts w:ascii="Times New Roman" w:hAnsi="Times New Roman" w:cs="Times New Roman"/>
          <w:sz w:val="24"/>
          <w:szCs w:val="24"/>
        </w:rPr>
      </w:pPr>
      <w:r w:rsidRPr="00CC23A1">
        <w:rPr>
          <w:rFonts w:ascii="Times New Roman" w:hAnsi="Times New Roman" w:cs="Times New Roman"/>
          <w:sz w:val="24"/>
          <w:szCs w:val="24"/>
        </w:rPr>
        <w:t>d) La Iglesia Católica y las iglesias, confesiones y comunidades religiosas que tengan suscritos acuerdos de cooperación con el Estado español.</w:t>
      </w:r>
    </w:p>
    <w:p w:rsidR="00CC23A1" w:rsidRPr="00CC23A1" w:rsidRDefault="00CC23A1" w:rsidP="00CC23A1">
      <w:pPr>
        <w:jc w:val="both"/>
        <w:rPr>
          <w:rFonts w:ascii="Times New Roman" w:hAnsi="Times New Roman" w:cs="Times New Roman"/>
          <w:sz w:val="24"/>
          <w:szCs w:val="24"/>
        </w:rPr>
      </w:pPr>
      <w:r w:rsidRPr="00CC23A1">
        <w:rPr>
          <w:rFonts w:ascii="Times New Roman" w:hAnsi="Times New Roman" w:cs="Times New Roman"/>
          <w:sz w:val="24"/>
          <w:szCs w:val="24"/>
        </w:rPr>
        <w:t>e) El Instituto de España y las Reales Academias integradas en el mismo, así como las instituciones de las Comunidades Autónomas que tengan fines análogos a los de la Real Academia Española.</w:t>
      </w:r>
    </w:p>
    <w:p w:rsidR="00CC23A1" w:rsidRPr="00CC23A1" w:rsidRDefault="00CC23A1" w:rsidP="00CC23A1">
      <w:pPr>
        <w:jc w:val="both"/>
        <w:rPr>
          <w:rFonts w:ascii="Times New Roman" w:hAnsi="Times New Roman" w:cs="Times New Roman"/>
          <w:sz w:val="24"/>
          <w:szCs w:val="24"/>
        </w:rPr>
      </w:pPr>
      <w:r w:rsidRPr="00CC23A1">
        <w:rPr>
          <w:rFonts w:ascii="Times New Roman" w:hAnsi="Times New Roman" w:cs="Times New Roman"/>
          <w:sz w:val="24"/>
          <w:szCs w:val="24"/>
        </w:rPr>
        <w:t>f) Los partidos políticos con representación parlamentaria.</w:t>
      </w:r>
    </w:p>
    <w:p w:rsidR="00CC23A1" w:rsidRPr="00CC23A1" w:rsidRDefault="00CC23A1" w:rsidP="00CC23A1">
      <w:pPr>
        <w:jc w:val="both"/>
        <w:rPr>
          <w:rFonts w:ascii="Times New Roman" w:hAnsi="Times New Roman" w:cs="Times New Roman"/>
          <w:sz w:val="24"/>
          <w:szCs w:val="24"/>
        </w:rPr>
      </w:pPr>
      <w:r w:rsidRPr="00CC23A1">
        <w:rPr>
          <w:rFonts w:ascii="Times New Roman" w:hAnsi="Times New Roman" w:cs="Times New Roman"/>
          <w:sz w:val="24"/>
          <w:szCs w:val="24"/>
        </w:rPr>
        <w:t>g) La Cruz Roja Española y la Organización Nacional de Ciegos Españoles.</w:t>
      </w:r>
    </w:p>
    <w:p w:rsidR="008C60FF" w:rsidRPr="00CC23A1" w:rsidRDefault="00CC23A1" w:rsidP="00CC23A1">
      <w:pPr>
        <w:jc w:val="both"/>
        <w:rPr>
          <w:rFonts w:ascii="Times New Roman" w:hAnsi="Times New Roman" w:cs="Times New Roman"/>
          <w:sz w:val="24"/>
          <w:szCs w:val="24"/>
        </w:rPr>
      </w:pPr>
      <w:r w:rsidRPr="00CC23A1">
        <w:rPr>
          <w:rFonts w:ascii="Times New Roman" w:hAnsi="Times New Roman" w:cs="Times New Roman"/>
          <w:sz w:val="24"/>
          <w:szCs w:val="24"/>
        </w:rPr>
        <w:t>h) La Obra Pía de los Santos Lugares.</w:t>
      </w:r>
    </w:p>
    <w:sectPr w:rsidR="008C60FF" w:rsidRPr="00CC2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A1"/>
    <w:rsid w:val="008C60FF"/>
    <w:rsid w:val="00CC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</dc:creator>
  <cp:lastModifiedBy>Juan José</cp:lastModifiedBy>
  <cp:revision>1</cp:revision>
  <dcterms:created xsi:type="dcterms:W3CDTF">2015-11-21T23:30:00Z</dcterms:created>
  <dcterms:modified xsi:type="dcterms:W3CDTF">2015-11-21T23:32:00Z</dcterms:modified>
</cp:coreProperties>
</file>