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85" w:rsidRPr="00B3674F" w:rsidRDefault="00E42185" w:rsidP="00E42185">
      <w:pPr>
        <w:jc w:val="center"/>
        <w:rPr>
          <w:b/>
          <w:sz w:val="24"/>
          <w:szCs w:val="24"/>
        </w:rPr>
      </w:pPr>
      <w:bookmarkStart w:id="0" w:name="_GoBack"/>
      <w:bookmarkEnd w:id="0"/>
      <w:r w:rsidRPr="00B3674F">
        <w:rPr>
          <w:b/>
          <w:sz w:val="24"/>
          <w:szCs w:val="24"/>
        </w:rPr>
        <w:t xml:space="preserve">Grille d’évaluation à échelle descriptive de l’enquête alimentaire </w:t>
      </w:r>
      <w:proofErr w:type="spellStart"/>
      <w:r w:rsidRPr="00B3674F">
        <w:rPr>
          <w:b/>
          <w:sz w:val="24"/>
          <w:szCs w:val="24"/>
        </w:rPr>
        <w:t>profiLAN</w:t>
      </w:r>
      <w:proofErr w:type="spellEnd"/>
    </w:p>
    <w:tbl>
      <w:tblPr>
        <w:tblStyle w:val="Grilledutableau"/>
        <w:tblW w:w="13531" w:type="dxa"/>
        <w:tblLook w:val="04A0" w:firstRow="1" w:lastRow="0" w:firstColumn="1" w:lastColumn="0" w:noHBand="0" w:noVBand="1"/>
      </w:tblPr>
      <w:tblGrid>
        <w:gridCol w:w="2093"/>
        <w:gridCol w:w="2410"/>
        <w:gridCol w:w="2551"/>
        <w:gridCol w:w="2977"/>
        <w:gridCol w:w="3500"/>
      </w:tblGrid>
      <w:tr w:rsidR="00E42185" w:rsidTr="00E71928">
        <w:trPr>
          <w:trHeight w:val="268"/>
          <w:tblHeader/>
        </w:trPr>
        <w:tc>
          <w:tcPr>
            <w:tcW w:w="2093" w:type="dxa"/>
            <w:vMerge w:val="restart"/>
            <w:shd w:val="clear" w:color="auto" w:fill="D9D9D9" w:themeFill="background1" w:themeFillShade="D9"/>
            <w:vAlign w:val="center"/>
          </w:tcPr>
          <w:p w:rsidR="00E42185" w:rsidRPr="00171EFF" w:rsidRDefault="00E42185" w:rsidP="00E71928">
            <w:pPr>
              <w:jc w:val="center"/>
              <w:rPr>
                <w:b/>
              </w:rPr>
            </w:pPr>
            <w:r w:rsidRPr="00171EFF">
              <w:rPr>
                <w:b/>
              </w:rPr>
              <w:t>Critères d’évaluation</w:t>
            </w:r>
          </w:p>
        </w:tc>
        <w:tc>
          <w:tcPr>
            <w:tcW w:w="2410" w:type="dxa"/>
            <w:vMerge w:val="restart"/>
            <w:shd w:val="clear" w:color="auto" w:fill="D9D9D9" w:themeFill="background1" w:themeFillShade="D9"/>
            <w:vAlign w:val="center"/>
          </w:tcPr>
          <w:p w:rsidR="00E42185" w:rsidRPr="00171EFF" w:rsidRDefault="00E42185" w:rsidP="00E71928">
            <w:pPr>
              <w:jc w:val="center"/>
              <w:rPr>
                <w:b/>
              </w:rPr>
            </w:pPr>
            <w:r w:rsidRPr="00171EFF">
              <w:rPr>
                <w:b/>
              </w:rPr>
              <w:t>Indicateurs</w:t>
            </w:r>
          </w:p>
        </w:tc>
        <w:tc>
          <w:tcPr>
            <w:tcW w:w="9028" w:type="dxa"/>
            <w:gridSpan w:val="3"/>
            <w:shd w:val="clear" w:color="auto" w:fill="D9D9D9" w:themeFill="background1" w:themeFillShade="D9"/>
            <w:vAlign w:val="center"/>
          </w:tcPr>
          <w:p w:rsidR="00E42185" w:rsidRPr="00171EFF" w:rsidRDefault="00E42185" w:rsidP="00E71928">
            <w:pPr>
              <w:jc w:val="center"/>
              <w:rPr>
                <w:b/>
              </w:rPr>
            </w:pPr>
            <w:r w:rsidRPr="00171EFF">
              <w:rPr>
                <w:b/>
              </w:rPr>
              <w:t>Niveaux</w:t>
            </w:r>
            <w:r>
              <w:rPr>
                <w:b/>
              </w:rPr>
              <w:t xml:space="preserve"> d’atteinte</w:t>
            </w:r>
          </w:p>
        </w:tc>
      </w:tr>
      <w:tr w:rsidR="00E42185" w:rsidTr="00E71928">
        <w:trPr>
          <w:trHeight w:val="740"/>
          <w:tblHeader/>
        </w:trPr>
        <w:tc>
          <w:tcPr>
            <w:tcW w:w="2093" w:type="dxa"/>
            <w:vMerge/>
            <w:shd w:val="clear" w:color="auto" w:fill="D9D9D9" w:themeFill="background1" w:themeFillShade="D9"/>
          </w:tcPr>
          <w:p w:rsidR="00E42185" w:rsidRDefault="00E42185" w:rsidP="00E71928"/>
        </w:tc>
        <w:tc>
          <w:tcPr>
            <w:tcW w:w="2410" w:type="dxa"/>
            <w:vMerge/>
            <w:shd w:val="clear" w:color="auto" w:fill="D9D9D9" w:themeFill="background1" w:themeFillShade="D9"/>
          </w:tcPr>
          <w:p w:rsidR="00E42185" w:rsidRDefault="00E42185" w:rsidP="00E71928"/>
        </w:tc>
        <w:tc>
          <w:tcPr>
            <w:tcW w:w="2551" w:type="dxa"/>
            <w:shd w:val="clear" w:color="auto" w:fill="D9D9D9" w:themeFill="background1" w:themeFillShade="D9"/>
          </w:tcPr>
          <w:p w:rsidR="00E42185" w:rsidRDefault="00E42185" w:rsidP="00E71928">
            <w:pPr>
              <w:jc w:val="center"/>
              <w:rPr>
                <w:sz w:val="28"/>
                <w:szCs w:val="28"/>
              </w:rPr>
            </w:pPr>
            <w:r>
              <w:rPr>
                <w:sz w:val="28"/>
                <w:szCs w:val="28"/>
              </w:rPr>
              <w:t>Insuffisant</w:t>
            </w:r>
          </w:p>
          <w:p w:rsidR="00E42185" w:rsidRPr="00450754" w:rsidRDefault="00E42185" w:rsidP="00E71928">
            <w:pPr>
              <w:jc w:val="center"/>
              <w:rPr>
                <w:sz w:val="28"/>
                <w:szCs w:val="28"/>
              </w:rPr>
            </w:pPr>
            <w:r>
              <w:rPr>
                <w:sz w:val="28"/>
                <w:szCs w:val="28"/>
              </w:rPr>
              <w:t>0-50%</w:t>
            </w:r>
          </w:p>
        </w:tc>
        <w:tc>
          <w:tcPr>
            <w:tcW w:w="2977" w:type="dxa"/>
            <w:shd w:val="clear" w:color="auto" w:fill="D9D9D9" w:themeFill="background1" w:themeFillShade="D9"/>
          </w:tcPr>
          <w:p w:rsidR="00E42185" w:rsidRDefault="00E42185" w:rsidP="00E71928">
            <w:pPr>
              <w:jc w:val="center"/>
              <w:rPr>
                <w:sz w:val="28"/>
                <w:szCs w:val="28"/>
              </w:rPr>
            </w:pPr>
            <w:r>
              <w:rPr>
                <w:sz w:val="28"/>
                <w:szCs w:val="28"/>
              </w:rPr>
              <w:t>Bien</w:t>
            </w:r>
          </w:p>
          <w:p w:rsidR="00E42185" w:rsidRPr="00450754" w:rsidRDefault="00E42185" w:rsidP="00E71928">
            <w:pPr>
              <w:jc w:val="center"/>
              <w:rPr>
                <w:sz w:val="28"/>
                <w:szCs w:val="28"/>
              </w:rPr>
            </w:pPr>
            <w:r>
              <w:rPr>
                <w:sz w:val="28"/>
                <w:szCs w:val="28"/>
              </w:rPr>
              <w:t>60-80%</w:t>
            </w:r>
          </w:p>
        </w:tc>
        <w:tc>
          <w:tcPr>
            <w:tcW w:w="3500" w:type="dxa"/>
            <w:shd w:val="clear" w:color="auto" w:fill="D9D9D9" w:themeFill="background1" w:themeFillShade="D9"/>
          </w:tcPr>
          <w:p w:rsidR="00E42185" w:rsidRDefault="00E42185" w:rsidP="00E71928">
            <w:pPr>
              <w:jc w:val="center"/>
              <w:rPr>
                <w:sz w:val="28"/>
                <w:szCs w:val="28"/>
              </w:rPr>
            </w:pPr>
            <w:r>
              <w:rPr>
                <w:sz w:val="28"/>
                <w:szCs w:val="28"/>
              </w:rPr>
              <w:t>Excellent</w:t>
            </w:r>
          </w:p>
          <w:p w:rsidR="00E42185" w:rsidRPr="00450754" w:rsidRDefault="00E42185" w:rsidP="00E71928">
            <w:pPr>
              <w:jc w:val="center"/>
              <w:rPr>
                <w:sz w:val="28"/>
                <w:szCs w:val="28"/>
              </w:rPr>
            </w:pPr>
            <w:r>
              <w:rPr>
                <w:sz w:val="28"/>
                <w:szCs w:val="28"/>
              </w:rPr>
              <w:t>80-100%</w:t>
            </w:r>
          </w:p>
        </w:tc>
      </w:tr>
      <w:tr w:rsidR="00E42185" w:rsidTr="00E71928">
        <w:trPr>
          <w:trHeight w:val="1412"/>
        </w:trPr>
        <w:tc>
          <w:tcPr>
            <w:tcW w:w="2093" w:type="dxa"/>
            <w:vMerge w:val="restart"/>
          </w:tcPr>
          <w:p w:rsidR="00E42185" w:rsidRDefault="00E42185" w:rsidP="00E71928">
            <w:pPr>
              <w:tabs>
                <w:tab w:val="left" w:pos="636"/>
              </w:tabs>
              <w:rPr>
                <w:rFonts w:ascii="Arial" w:eastAsia="Arial Unicode MS" w:hAnsi="Arial" w:cs="Arial"/>
                <w:sz w:val="24"/>
                <w:szCs w:val="24"/>
              </w:rPr>
            </w:pPr>
          </w:p>
          <w:p w:rsidR="00E42185" w:rsidRDefault="00E42185" w:rsidP="00E71928">
            <w:pPr>
              <w:tabs>
                <w:tab w:val="left" w:pos="636"/>
              </w:tabs>
              <w:rPr>
                <w:rFonts w:ascii="Arial" w:eastAsia="Arial Unicode MS" w:hAnsi="Arial" w:cs="Arial"/>
                <w:sz w:val="24"/>
                <w:szCs w:val="24"/>
              </w:rPr>
            </w:pPr>
          </w:p>
          <w:p w:rsidR="00E42185" w:rsidRDefault="00E42185" w:rsidP="00E71928">
            <w:pPr>
              <w:tabs>
                <w:tab w:val="left" w:pos="636"/>
              </w:tabs>
              <w:rPr>
                <w:rFonts w:ascii="Arial" w:eastAsia="Arial Unicode MS" w:hAnsi="Arial" w:cs="Arial"/>
                <w:sz w:val="24"/>
                <w:szCs w:val="24"/>
              </w:rPr>
            </w:pPr>
          </w:p>
          <w:p w:rsidR="00E42185" w:rsidRDefault="00E42185" w:rsidP="00E71928">
            <w:pPr>
              <w:tabs>
                <w:tab w:val="left" w:pos="636"/>
              </w:tabs>
              <w:rPr>
                <w:rFonts w:ascii="Arial" w:eastAsia="Arial Unicode MS" w:hAnsi="Arial" w:cs="Arial"/>
                <w:sz w:val="24"/>
                <w:szCs w:val="24"/>
              </w:rPr>
            </w:pPr>
          </w:p>
          <w:p w:rsidR="00E42185" w:rsidRDefault="00E42185" w:rsidP="00E71928">
            <w:pPr>
              <w:tabs>
                <w:tab w:val="left" w:pos="636"/>
              </w:tabs>
              <w:rPr>
                <w:rFonts w:ascii="Arial" w:eastAsia="Arial Unicode MS" w:hAnsi="Arial" w:cs="Arial"/>
                <w:sz w:val="24"/>
                <w:szCs w:val="24"/>
              </w:rPr>
            </w:pPr>
          </w:p>
          <w:p w:rsidR="00E42185" w:rsidRDefault="00E42185" w:rsidP="00E71928">
            <w:pPr>
              <w:tabs>
                <w:tab w:val="left" w:pos="636"/>
              </w:tabs>
              <w:rPr>
                <w:rFonts w:ascii="Arial" w:eastAsia="Arial Unicode MS" w:hAnsi="Arial" w:cs="Arial"/>
                <w:sz w:val="24"/>
                <w:szCs w:val="24"/>
              </w:rPr>
            </w:pPr>
          </w:p>
          <w:p w:rsidR="00E42185" w:rsidRDefault="00E42185" w:rsidP="00E71928">
            <w:pPr>
              <w:tabs>
                <w:tab w:val="left" w:pos="636"/>
              </w:tabs>
              <w:rPr>
                <w:rFonts w:ascii="Arial" w:eastAsia="Arial Unicode MS" w:hAnsi="Arial" w:cs="Arial"/>
                <w:sz w:val="24"/>
                <w:szCs w:val="24"/>
              </w:rPr>
            </w:pPr>
          </w:p>
          <w:p w:rsidR="00E42185" w:rsidRDefault="00E42185" w:rsidP="00E71928">
            <w:pPr>
              <w:tabs>
                <w:tab w:val="left" w:pos="636"/>
              </w:tabs>
              <w:rPr>
                <w:rFonts w:ascii="Arial" w:eastAsia="Arial Unicode MS" w:hAnsi="Arial" w:cs="Arial"/>
                <w:sz w:val="24"/>
                <w:szCs w:val="24"/>
              </w:rPr>
            </w:pPr>
          </w:p>
          <w:p w:rsidR="00E42185" w:rsidRDefault="00E42185" w:rsidP="00E71928">
            <w:pPr>
              <w:tabs>
                <w:tab w:val="left" w:pos="636"/>
              </w:tabs>
              <w:rPr>
                <w:rFonts w:ascii="Arial" w:eastAsia="Arial Unicode MS" w:hAnsi="Arial" w:cs="Arial"/>
                <w:sz w:val="24"/>
                <w:szCs w:val="24"/>
              </w:rPr>
            </w:pPr>
          </w:p>
          <w:p w:rsidR="00E42185" w:rsidRDefault="00E42185" w:rsidP="00E71928">
            <w:pPr>
              <w:tabs>
                <w:tab w:val="left" w:pos="636"/>
              </w:tabs>
              <w:rPr>
                <w:rFonts w:ascii="Arial" w:eastAsia="Arial Unicode MS" w:hAnsi="Arial" w:cs="Arial"/>
                <w:sz w:val="24"/>
                <w:szCs w:val="24"/>
              </w:rPr>
            </w:pPr>
          </w:p>
          <w:p w:rsidR="00E42185" w:rsidRPr="00450754" w:rsidRDefault="00E42185" w:rsidP="00E71928">
            <w:pPr>
              <w:tabs>
                <w:tab w:val="left" w:pos="636"/>
              </w:tabs>
              <w:rPr>
                <w:rFonts w:ascii="Arial" w:eastAsia="Arial Unicode MS" w:hAnsi="Arial" w:cs="Arial"/>
                <w:sz w:val="24"/>
                <w:szCs w:val="24"/>
              </w:rPr>
            </w:pPr>
            <w:r w:rsidRPr="00450754">
              <w:rPr>
                <w:rFonts w:ascii="Arial" w:eastAsia="Arial Unicode MS" w:hAnsi="Arial" w:cs="Arial"/>
                <w:sz w:val="24"/>
                <w:szCs w:val="24"/>
              </w:rPr>
              <w:t>Présentation claire et adéquate des résultats</w:t>
            </w:r>
          </w:p>
        </w:tc>
        <w:tc>
          <w:tcPr>
            <w:tcW w:w="2410" w:type="dxa"/>
          </w:tcPr>
          <w:p w:rsidR="00E42185" w:rsidRDefault="00E42185" w:rsidP="00E71928">
            <w:r w:rsidRPr="00693913">
              <w:rPr>
                <w:b/>
              </w:rPr>
              <w:t>1.1</w:t>
            </w:r>
            <w:r>
              <w:t xml:space="preserve"> Présentation du tableau pour le nombre de portions quotidienne.</w:t>
            </w:r>
          </w:p>
          <w:p w:rsidR="00E42185" w:rsidRDefault="00E42185" w:rsidP="00E71928"/>
          <w:p w:rsidR="00E42185" w:rsidRDefault="00E42185" w:rsidP="00E71928"/>
          <w:p w:rsidR="00E42185" w:rsidRDefault="00E42185" w:rsidP="00E71928"/>
          <w:p w:rsidR="00E42185" w:rsidRDefault="00E42185" w:rsidP="00E71928"/>
          <w:p w:rsidR="00E42185" w:rsidRDefault="00E42185" w:rsidP="00E71928">
            <w:pPr>
              <w:jc w:val="right"/>
            </w:pPr>
            <w:r>
              <w:t>/1</w:t>
            </w:r>
          </w:p>
        </w:tc>
        <w:tc>
          <w:tcPr>
            <w:tcW w:w="2551" w:type="dxa"/>
          </w:tcPr>
          <w:p w:rsidR="00E42185" w:rsidRDefault="00E42185" w:rsidP="00E71928">
            <w:pPr>
              <w:jc w:val="center"/>
            </w:pPr>
            <w:r>
              <w:t>Le tableau est incomplet.</w:t>
            </w:r>
          </w:p>
          <w:p w:rsidR="00E42185" w:rsidRDefault="00E42185" w:rsidP="00E71928">
            <w:pPr>
              <w:jc w:val="center"/>
            </w:pPr>
            <w:r>
              <w:t>Certaines données sont manquantes.</w:t>
            </w:r>
          </w:p>
        </w:tc>
        <w:tc>
          <w:tcPr>
            <w:tcW w:w="2977" w:type="dxa"/>
          </w:tcPr>
          <w:p w:rsidR="00E42185" w:rsidRDefault="00E42185" w:rsidP="00E71928">
            <w:pPr>
              <w:jc w:val="center"/>
            </w:pPr>
            <w:r>
              <w:t>L’étudiant indique dans son tableau le nombre de portions consommées pour chacun des groupes alimentaires pour chacune des 3 journées.</w:t>
            </w:r>
          </w:p>
          <w:p w:rsidR="00E42185" w:rsidRDefault="00E42185" w:rsidP="00E71928">
            <w:pPr>
              <w:jc w:val="center"/>
            </w:pPr>
          </w:p>
          <w:p w:rsidR="00E42185" w:rsidRDefault="00E42185" w:rsidP="00E71928">
            <w:pPr>
              <w:jc w:val="center"/>
            </w:pPr>
          </w:p>
          <w:p w:rsidR="00E42185" w:rsidRDefault="00E42185" w:rsidP="00E71928">
            <w:pPr>
              <w:jc w:val="center"/>
            </w:pPr>
          </w:p>
          <w:p w:rsidR="00E42185" w:rsidRPr="00FD4412" w:rsidRDefault="00E42185" w:rsidP="00E71928">
            <w:pPr>
              <w:jc w:val="right"/>
              <w:rPr>
                <w:b/>
              </w:rPr>
            </w:pPr>
            <w:r>
              <w:rPr>
                <w:b/>
              </w:rPr>
              <w:t>0.6 à 0.8/1</w:t>
            </w:r>
          </w:p>
        </w:tc>
        <w:tc>
          <w:tcPr>
            <w:tcW w:w="3500" w:type="dxa"/>
          </w:tcPr>
          <w:p w:rsidR="00E42185" w:rsidRDefault="00E42185" w:rsidP="00E71928">
            <w:pPr>
              <w:jc w:val="center"/>
            </w:pPr>
            <w:r>
              <w:t xml:space="preserve">L’étudiant indique dans son tableau le nombre de portions consommées pour chacun des groupes alimentaires pour chacune des 3 journées et calcule la moyenne.   Le nombre de portions recommandées par groupe en fonction du sexe et de la quantité d’activité physique pratiquée est précisé.  </w:t>
            </w:r>
            <w:r w:rsidRPr="00FD4412">
              <w:rPr>
                <w:b/>
              </w:rPr>
              <w:t>0.8 à 1/1</w:t>
            </w:r>
          </w:p>
        </w:tc>
      </w:tr>
      <w:tr w:rsidR="00E42185" w:rsidTr="00E71928">
        <w:trPr>
          <w:trHeight w:val="1412"/>
        </w:trPr>
        <w:tc>
          <w:tcPr>
            <w:tcW w:w="2093" w:type="dxa"/>
            <w:vMerge/>
          </w:tcPr>
          <w:p w:rsidR="00E42185" w:rsidRPr="00450754" w:rsidRDefault="00E42185" w:rsidP="00E71928">
            <w:pPr>
              <w:tabs>
                <w:tab w:val="left" w:pos="636"/>
              </w:tabs>
              <w:rPr>
                <w:rFonts w:ascii="Arial" w:eastAsia="Arial Unicode MS" w:hAnsi="Arial" w:cs="Arial"/>
                <w:sz w:val="24"/>
                <w:szCs w:val="24"/>
              </w:rPr>
            </w:pPr>
          </w:p>
        </w:tc>
        <w:tc>
          <w:tcPr>
            <w:tcW w:w="2410" w:type="dxa"/>
          </w:tcPr>
          <w:p w:rsidR="00E42185" w:rsidRDefault="00E42185" w:rsidP="00E71928">
            <w:r w:rsidRPr="00693913">
              <w:rPr>
                <w:b/>
              </w:rPr>
              <w:t>1.2</w:t>
            </w:r>
            <w:r>
              <w:t xml:space="preserve"> Présentation du tableau comparatif entre l’apport énergétique et la dépense énergétique</w:t>
            </w:r>
          </w:p>
          <w:p w:rsidR="00E42185" w:rsidRDefault="00E42185" w:rsidP="00E71928"/>
          <w:p w:rsidR="00E42185" w:rsidRDefault="00E42185" w:rsidP="00E71928">
            <w:pPr>
              <w:jc w:val="right"/>
            </w:pPr>
            <w:r>
              <w:t>/1</w:t>
            </w:r>
          </w:p>
        </w:tc>
        <w:tc>
          <w:tcPr>
            <w:tcW w:w="2551" w:type="dxa"/>
          </w:tcPr>
          <w:p w:rsidR="00E42185" w:rsidRDefault="00E42185" w:rsidP="00E71928">
            <w:pPr>
              <w:jc w:val="center"/>
            </w:pPr>
            <w:r>
              <w:t>Le tableau est incomplet.</w:t>
            </w:r>
          </w:p>
          <w:p w:rsidR="00E42185" w:rsidRDefault="00E42185" w:rsidP="00E71928">
            <w:pPr>
              <w:jc w:val="center"/>
            </w:pPr>
            <w:r>
              <w:t>Certaines données sont manquantes.</w:t>
            </w:r>
          </w:p>
        </w:tc>
        <w:tc>
          <w:tcPr>
            <w:tcW w:w="2977" w:type="dxa"/>
          </w:tcPr>
          <w:p w:rsidR="00E42185" w:rsidRDefault="00E42185" w:rsidP="00E71928">
            <w:pPr>
              <w:jc w:val="center"/>
            </w:pPr>
            <w:r>
              <w:t>L’étudiant indique dans son tableau l’apport énergétique et la dépense énergétiques (en calories) pour chacune des trois journées.</w:t>
            </w:r>
          </w:p>
          <w:p w:rsidR="00E42185" w:rsidRDefault="00E42185" w:rsidP="00E71928">
            <w:pPr>
              <w:jc w:val="center"/>
            </w:pPr>
          </w:p>
          <w:p w:rsidR="00E42185" w:rsidRDefault="00E42185" w:rsidP="00E71928">
            <w:pPr>
              <w:jc w:val="right"/>
            </w:pPr>
            <w:r>
              <w:rPr>
                <w:b/>
              </w:rPr>
              <w:t>0.6 à 0.8/1</w:t>
            </w:r>
          </w:p>
        </w:tc>
        <w:tc>
          <w:tcPr>
            <w:tcW w:w="3500" w:type="dxa"/>
          </w:tcPr>
          <w:p w:rsidR="00E42185" w:rsidRDefault="00E42185" w:rsidP="00E71928">
            <w:pPr>
              <w:jc w:val="center"/>
            </w:pPr>
            <w:r>
              <w:t xml:space="preserve">L’étudiant indique dans son tableau l’apport énergétique et la dépense énergétique (en calories) pour chacune des trois journées et calcule la moyenne.  Le surplus ou le déficit moyen apparaît également dans le tableau.             </w:t>
            </w:r>
            <w:r w:rsidRPr="00FD4412">
              <w:rPr>
                <w:b/>
              </w:rPr>
              <w:t>0.8 à 1/1</w:t>
            </w:r>
          </w:p>
        </w:tc>
      </w:tr>
      <w:tr w:rsidR="00E42185" w:rsidTr="00E71928">
        <w:trPr>
          <w:trHeight w:val="1412"/>
        </w:trPr>
        <w:tc>
          <w:tcPr>
            <w:tcW w:w="2093" w:type="dxa"/>
            <w:vMerge/>
          </w:tcPr>
          <w:p w:rsidR="00E42185" w:rsidRPr="00450754" w:rsidRDefault="00E42185" w:rsidP="00E71928">
            <w:pPr>
              <w:tabs>
                <w:tab w:val="left" w:pos="636"/>
              </w:tabs>
              <w:rPr>
                <w:rFonts w:ascii="Arial" w:eastAsia="Arial Unicode MS" w:hAnsi="Arial" w:cs="Arial"/>
                <w:sz w:val="24"/>
                <w:szCs w:val="24"/>
              </w:rPr>
            </w:pPr>
          </w:p>
        </w:tc>
        <w:tc>
          <w:tcPr>
            <w:tcW w:w="2410" w:type="dxa"/>
          </w:tcPr>
          <w:p w:rsidR="00E42185" w:rsidRDefault="00E42185" w:rsidP="00E71928">
            <w:r w:rsidRPr="00693913">
              <w:rPr>
                <w:b/>
              </w:rPr>
              <w:t>1.3</w:t>
            </w:r>
            <w:r>
              <w:t xml:space="preserve"> Présentation du tableau comparatif entre l’apport réel de 3 vitamines ou minéraux choisis en carence ou en excès (sous 50% ou au-dessus de 200%) et l’apport recommandé</w:t>
            </w:r>
          </w:p>
          <w:p w:rsidR="00E42185" w:rsidRDefault="00E42185" w:rsidP="00E71928">
            <w:r>
              <w:t>/1</w:t>
            </w:r>
          </w:p>
        </w:tc>
        <w:tc>
          <w:tcPr>
            <w:tcW w:w="2551" w:type="dxa"/>
          </w:tcPr>
          <w:p w:rsidR="00E42185" w:rsidRDefault="00E42185" w:rsidP="00E71928">
            <w:pPr>
              <w:jc w:val="center"/>
            </w:pPr>
            <w:r>
              <w:t>Le tableau est incomplet</w:t>
            </w:r>
          </w:p>
          <w:p w:rsidR="00E42185" w:rsidRDefault="00E42185" w:rsidP="00E71928">
            <w:pPr>
              <w:jc w:val="center"/>
            </w:pPr>
            <w:r>
              <w:t>ou</w:t>
            </w:r>
          </w:p>
          <w:p w:rsidR="00E42185" w:rsidRDefault="00E42185" w:rsidP="00E71928">
            <w:pPr>
              <w:jc w:val="center"/>
            </w:pPr>
            <w:r>
              <w:t>L’étudiant n’a pas ciblé trois vitamines ou minéraux.</w:t>
            </w:r>
          </w:p>
        </w:tc>
        <w:tc>
          <w:tcPr>
            <w:tcW w:w="2977" w:type="dxa"/>
          </w:tcPr>
          <w:p w:rsidR="00E42185" w:rsidRDefault="00E42185" w:rsidP="00E71928">
            <w:pPr>
              <w:jc w:val="center"/>
            </w:pPr>
            <w:r>
              <w:t>L’étudiant indique dans son tableau pour chacune des vitamines ou minéraux choisis, la quantité absorbée pour chacune des trois journées.</w:t>
            </w:r>
          </w:p>
          <w:p w:rsidR="00E42185" w:rsidRDefault="00E42185" w:rsidP="00E71928"/>
          <w:p w:rsidR="00E42185" w:rsidRDefault="00E42185" w:rsidP="00E71928">
            <w:pPr>
              <w:jc w:val="center"/>
            </w:pPr>
          </w:p>
          <w:p w:rsidR="00E42185" w:rsidRDefault="00E42185" w:rsidP="00E71928">
            <w:pPr>
              <w:jc w:val="right"/>
            </w:pPr>
            <w:r>
              <w:rPr>
                <w:b/>
              </w:rPr>
              <w:t>0.6 à 0.8/1</w:t>
            </w:r>
          </w:p>
        </w:tc>
        <w:tc>
          <w:tcPr>
            <w:tcW w:w="3500" w:type="dxa"/>
          </w:tcPr>
          <w:p w:rsidR="00E42185" w:rsidRDefault="00E42185" w:rsidP="00E71928">
            <w:pPr>
              <w:jc w:val="center"/>
            </w:pPr>
            <w:r>
              <w:t>L’étudiant indique dans son tableau pour chacune des vitamines ou minéraux choisis, la quantité absorbée pour chacune des trois journées,  sa moyenne  et la quantité recommandée par jour.</w:t>
            </w:r>
          </w:p>
          <w:p w:rsidR="00E42185" w:rsidRDefault="00E42185" w:rsidP="00E71928">
            <w:pPr>
              <w:rPr>
                <w:b/>
              </w:rPr>
            </w:pPr>
          </w:p>
          <w:p w:rsidR="00E42185" w:rsidRDefault="00E42185" w:rsidP="00E71928">
            <w:pPr>
              <w:jc w:val="right"/>
            </w:pPr>
            <w:r w:rsidRPr="00FD4412">
              <w:rPr>
                <w:b/>
              </w:rPr>
              <w:t>0.8 à 1/1</w:t>
            </w:r>
          </w:p>
        </w:tc>
      </w:tr>
      <w:tr w:rsidR="00E42185" w:rsidTr="00E71928">
        <w:trPr>
          <w:trHeight w:val="1046"/>
        </w:trPr>
        <w:tc>
          <w:tcPr>
            <w:tcW w:w="2093" w:type="dxa"/>
            <w:vMerge w:val="restart"/>
          </w:tcPr>
          <w:p w:rsidR="00E42185" w:rsidRDefault="00E42185" w:rsidP="00E71928">
            <w:pPr>
              <w:autoSpaceDE w:val="0"/>
              <w:autoSpaceDN w:val="0"/>
              <w:adjustRightInd w:val="0"/>
              <w:rPr>
                <w:rFonts w:ascii="Arial" w:hAnsi="Arial" w:cs="Arial"/>
                <w:sz w:val="24"/>
                <w:szCs w:val="24"/>
              </w:rPr>
            </w:pPr>
          </w:p>
          <w:p w:rsidR="00E42185" w:rsidRDefault="00E42185" w:rsidP="00E71928">
            <w:pPr>
              <w:autoSpaceDE w:val="0"/>
              <w:autoSpaceDN w:val="0"/>
              <w:adjustRightInd w:val="0"/>
              <w:rPr>
                <w:rFonts w:ascii="Arial" w:hAnsi="Arial" w:cs="Arial"/>
                <w:sz w:val="24"/>
                <w:szCs w:val="24"/>
              </w:rPr>
            </w:pPr>
          </w:p>
          <w:p w:rsidR="00E42185" w:rsidRDefault="00E42185" w:rsidP="00E71928">
            <w:pPr>
              <w:autoSpaceDE w:val="0"/>
              <w:autoSpaceDN w:val="0"/>
              <w:adjustRightInd w:val="0"/>
              <w:rPr>
                <w:rFonts w:ascii="Arial" w:hAnsi="Arial" w:cs="Arial"/>
                <w:sz w:val="24"/>
                <w:szCs w:val="24"/>
              </w:rPr>
            </w:pPr>
          </w:p>
          <w:p w:rsidR="00E42185" w:rsidRDefault="00E42185" w:rsidP="00E71928">
            <w:pPr>
              <w:autoSpaceDE w:val="0"/>
              <w:autoSpaceDN w:val="0"/>
              <w:adjustRightInd w:val="0"/>
              <w:rPr>
                <w:rFonts w:ascii="Arial" w:hAnsi="Arial" w:cs="Arial"/>
                <w:sz w:val="24"/>
                <w:szCs w:val="24"/>
              </w:rPr>
            </w:pPr>
          </w:p>
          <w:p w:rsidR="00E42185" w:rsidRDefault="00E42185" w:rsidP="00E71928">
            <w:pPr>
              <w:autoSpaceDE w:val="0"/>
              <w:autoSpaceDN w:val="0"/>
              <w:adjustRightInd w:val="0"/>
              <w:rPr>
                <w:rFonts w:ascii="Arial" w:hAnsi="Arial" w:cs="Arial"/>
                <w:sz w:val="24"/>
                <w:szCs w:val="24"/>
              </w:rPr>
            </w:pPr>
          </w:p>
          <w:p w:rsidR="00E42185" w:rsidRDefault="00E42185" w:rsidP="00E71928">
            <w:pPr>
              <w:autoSpaceDE w:val="0"/>
              <w:autoSpaceDN w:val="0"/>
              <w:adjustRightInd w:val="0"/>
              <w:rPr>
                <w:rFonts w:ascii="Arial" w:hAnsi="Arial" w:cs="Arial"/>
                <w:sz w:val="24"/>
                <w:szCs w:val="24"/>
              </w:rPr>
            </w:pPr>
          </w:p>
          <w:p w:rsidR="00E42185" w:rsidRDefault="00E42185" w:rsidP="00E71928">
            <w:pPr>
              <w:autoSpaceDE w:val="0"/>
              <w:autoSpaceDN w:val="0"/>
              <w:adjustRightInd w:val="0"/>
              <w:rPr>
                <w:rFonts w:ascii="Arial" w:hAnsi="Arial" w:cs="Arial"/>
                <w:sz w:val="24"/>
                <w:szCs w:val="24"/>
              </w:rPr>
            </w:pPr>
          </w:p>
          <w:p w:rsidR="00E42185" w:rsidRDefault="00E42185" w:rsidP="00E71928">
            <w:pPr>
              <w:autoSpaceDE w:val="0"/>
              <w:autoSpaceDN w:val="0"/>
              <w:adjustRightInd w:val="0"/>
              <w:rPr>
                <w:rFonts w:ascii="Arial" w:hAnsi="Arial" w:cs="Arial"/>
                <w:sz w:val="24"/>
                <w:szCs w:val="24"/>
              </w:rPr>
            </w:pPr>
          </w:p>
          <w:p w:rsidR="00E42185" w:rsidRDefault="00E42185" w:rsidP="00E71928">
            <w:pPr>
              <w:autoSpaceDE w:val="0"/>
              <w:autoSpaceDN w:val="0"/>
              <w:adjustRightInd w:val="0"/>
              <w:rPr>
                <w:rFonts w:ascii="Arial" w:hAnsi="Arial" w:cs="Arial"/>
                <w:sz w:val="24"/>
                <w:szCs w:val="24"/>
              </w:rPr>
            </w:pPr>
          </w:p>
          <w:p w:rsidR="00E42185" w:rsidRDefault="00E42185" w:rsidP="00E71928">
            <w:pPr>
              <w:autoSpaceDE w:val="0"/>
              <w:autoSpaceDN w:val="0"/>
              <w:adjustRightInd w:val="0"/>
              <w:rPr>
                <w:rFonts w:ascii="Arial" w:hAnsi="Arial" w:cs="Arial"/>
                <w:sz w:val="24"/>
                <w:szCs w:val="24"/>
              </w:rPr>
            </w:pPr>
            <w:r>
              <w:rPr>
                <w:rFonts w:ascii="Arial" w:hAnsi="Arial" w:cs="Arial"/>
                <w:sz w:val="24"/>
                <w:szCs w:val="24"/>
              </w:rPr>
              <w:t>Relations valides établies entre l’hypothèse, la vérification et la conclusion.</w:t>
            </w:r>
          </w:p>
        </w:tc>
        <w:tc>
          <w:tcPr>
            <w:tcW w:w="2410" w:type="dxa"/>
          </w:tcPr>
          <w:p w:rsidR="00E42185" w:rsidRDefault="00E42185" w:rsidP="00E71928">
            <w:r>
              <w:rPr>
                <w:b/>
              </w:rPr>
              <w:lastRenderedPageBreak/>
              <w:t xml:space="preserve">2.0 </w:t>
            </w:r>
            <w:r>
              <w:t>Formulation d’une hypothèse incluant deux variables.</w:t>
            </w:r>
          </w:p>
          <w:p w:rsidR="00E42185" w:rsidRPr="00FD4412" w:rsidRDefault="00E42185" w:rsidP="00E71928">
            <w:pPr>
              <w:jc w:val="right"/>
            </w:pPr>
            <w:r>
              <w:t>/2</w:t>
            </w:r>
          </w:p>
        </w:tc>
        <w:tc>
          <w:tcPr>
            <w:tcW w:w="2551" w:type="dxa"/>
          </w:tcPr>
          <w:p w:rsidR="00E42185" w:rsidRDefault="00E42185" w:rsidP="00E71928">
            <w:r>
              <w:t>L’hypothèse formulée n’établit pas de relation entre deux variables</w:t>
            </w:r>
          </w:p>
        </w:tc>
        <w:tc>
          <w:tcPr>
            <w:tcW w:w="2977" w:type="dxa"/>
          </w:tcPr>
          <w:p w:rsidR="00E42185" w:rsidRDefault="00E42185" w:rsidP="00E71928"/>
        </w:tc>
        <w:tc>
          <w:tcPr>
            <w:tcW w:w="3500" w:type="dxa"/>
          </w:tcPr>
          <w:p w:rsidR="00E42185" w:rsidRDefault="00E42185" w:rsidP="00E71928">
            <w:r>
              <w:t>L’hypothèse formulée établit la relation entre deux variables : l’apport énergétique et la dépense énergétique.</w:t>
            </w:r>
          </w:p>
        </w:tc>
      </w:tr>
      <w:tr w:rsidR="00E42185" w:rsidTr="00E71928">
        <w:trPr>
          <w:trHeight w:val="1412"/>
        </w:trPr>
        <w:tc>
          <w:tcPr>
            <w:tcW w:w="2093" w:type="dxa"/>
            <w:vMerge/>
          </w:tcPr>
          <w:p w:rsidR="00E42185" w:rsidRDefault="00E42185" w:rsidP="00E71928">
            <w:pPr>
              <w:autoSpaceDE w:val="0"/>
              <w:autoSpaceDN w:val="0"/>
              <w:adjustRightInd w:val="0"/>
            </w:pPr>
          </w:p>
        </w:tc>
        <w:tc>
          <w:tcPr>
            <w:tcW w:w="2410" w:type="dxa"/>
          </w:tcPr>
          <w:p w:rsidR="00E42185" w:rsidRDefault="00E42185" w:rsidP="00E71928">
            <w:r>
              <w:rPr>
                <w:b/>
              </w:rPr>
              <w:t xml:space="preserve">2.1 </w:t>
            </w:r>
            <w:r>
              <w:t>Analyse du nombre moyen de portions  pour chacun des groupes alimentaire</w:t>
            </w:r>
          </w:p>
          <w:p w:rsidR="00E42185" w:rsidRDefault="00E42185" w:rsidP="00E71928"/>
          <w:p w:rsidR="00E42185" w:rsidRDefault="00E42185" w:rsidP="00E71928"/>
          <w:p w:rsidR="00E42185" w:rsidRDefault="00E42185" w:rsidP="00E71928"/>
          <w:p w:rsidR="00E42185" w:rsidRDefault="00E42185" w:rsidP="00E71928"/>
          <w:p w:rsidR="00E42185" w:rsidRDefault="00E42185" w:rsidP="00E71928">
            <w:pPr>
              <w:jc w:val="right"/>
            </w:pPr>
            <w:r>
              <w:t>/5</w:t>
            </w:r>
          </w:p>
        </w:tc>
        <w:tc>
          <w:tcPr>
            <w:tcW w:w="2551" w:type="dxa"/>
          </w:tcPr>
          <w:p w:rsidR="00E42185" w:rsidRDefault="00E42185" w:rsidP="00E71928">
            <w:r>
              <w:t xml:space="preserve">L’étudiant compare la moyenne de portions pour un ou deux groupes avec l’apport recommandé.   Les recommandations formulées et les exemples donnés ne sont pas pertinents. </w:t>
            </w:r>
          </w:p>
        </w:tc>
        <w:tc>
          <w:tcPr>
            <w:tcW w:w="2977" w:type="dxa"/>
          </w:tcPr>
          <w:p w:rsidR="00E42185" w:rsidRDefault="00E42185" w:rsidP="00E71928">
            <w:r>
              <w:t xml:space="preserve">L’étudiant compare la moyenne de portions pour la plupart des groupes avec l’apport recommandé.   Il formule une ou deux recommandations pertinentes et un ou deux exemples concrets de changements à apporter à son alimentation. </w:t>
            </w:r>
          </w:p>
        </w:tc>
        <w:tc>
          <w:tcPr>
            <w:tcW w:w="3500" w:type="dxa"/>
          </w:tcPr>
          <w:p w:rsidR="00E42185" w:rsidRDefault="00E42185" w:rsidP="00E71928">
            <w:r>
              <w:t>L’étudiant compare la moyenne de portions pour tous les groupes avec l’apport recommandé.  Il formule trois ou quatre recommandations pertinentes ainsi que des exemples concrets de changements à apporter à son alimentation.</w:t>
            </w:r>
          </w:p>
        </w:tc>
      </w:tr>
      <w:tr w:rsidR="00E42185" w:rsidTr="00E71928">
        <w:trPr>
          <w:trHeight w:val="1412"/>
        </w:trPr>
        <w:tc>
          <w:tcPr>
            <w:tcW w:w="2093" w:type="dxa"/>
            <w:vMerge/>
          </w:tcPr>
          <w:p w:rsidR="00E42185" w:rsidRDefault="00E42185" w:rsidP="00E71928">
            <w:pPr>
              <w:autoSpaceDE w:val="0"/>
              <w:autoSpaceDN w:val="0"/>
              <w:adjustRightInd w:val="0"/>
              <w:rPr>
                <w:rFonts w:ascii="Arial" w:hAnsi="Arial" w:cs="Arial"/>
                <w:sz w:val="24"/>
                <w:szCs w:val="24"/>
              </w:rPr>
            </w:pPr>
          </w:p>
        </w:tc>
        <w:tc>
          <w:tcPr>
            <w:tcW w:w="2410" w:type="dxa"/>
          </w:tcPr>
          <w:p w:rsidR="00E42185" w:rsidRDefault="00E42185" w:rsidP="00E71928">
            <w:r>
              <w:rPr>
                <w:b/>
              </w:rPr>
              <w:t xml:space="preserve">2.2 </w:t>
            </w:r>
            <w:r>
              <w:t>Analyse de la dépense énergétique en fonction de l’apport énergétique</w:t>
            </w:r>
          </w:p>
          <w:p w:rsidR="00E42185" w:rsidRDefault="00E42185" w:rsidP="00E71928"/>
          <w:p w:rsidR="00E42185" w:rsidRDefault="00E42185" w:rsidP="00E71928"/>
          <w:p w:rsidR="00E42185" w:rsidRDefault="00E42185" w:rsidP="00E71928">
            <w:pPr>
              <w:jc w:val="right"/>
            </w:pPr>
            <w:r>
              <w:t>/5</w:t>
            </w:r>
          </w:p>
        </w:tc>
        <w:tc>
          <w:tcPr>
            <w:tcW w:w="2551" w:type="dxa"/>
          </w:tcPr>
          <w:p w:rsidR="00E42185" w:rsidRDefault="00E42185" w:rsidP="00E71928">
            <w:r>
              <w:t>L’écart obtenu entre l’apport et la dépense énergétique n’est pas expliqué.   Les conséquences à long terme de cet écart ne sont pas précisées.</w:t>
            </w:r>
          </w:p>
        </w:tc>
        <w:tc>
          <w:tcPr>
            <w:tcW w:w="2977" w:type="dxa"/>
          </w:tcPr>
          <w:p w:rsidR="00E42185" w:rsidRDefault="00E42185" w:rsidP="00E71928">
            <w:r>
              <w:t>L’écart obtenu entre l’apport et la dépense énergétique est expliqué.    Il décrit une conséquence à long terme de cet écart.  Il établit un lien entre l’alimentation et la pratique d’activité physique.</w:t>
            </w:r>
          </w:p>
        </w:tc>
        <w:tc>
          <w:tcPr>
            <w:tcW w:w="3500" w:type="dxa"/>
          </w:tcPr>
          <w:p w:rsidR="00E42185" w:rsidRDefault="00E42185" w:rsidP="00E71928">
            <w:r>
              <w:t>L’écart obtenu entre l’apport et la dépense énergétique est expliqué.  Il décrit une conséquence à long terme de cet écart.  Il établit deux liens entre l’alimentation et la pratique d’activité physique.</w:t>
            </w:r>
          </w:p>
        </w:tc>
      </w:tr>
      <w:tr w:rsidR="00E42185" w:rsidTr="00E71928">
        <w:trPr>
          <w:trHeight w:val="1412"/>
        </w:trPr>
        <w:tc>
          <w:tcPr>
            <w:tcW w:w="2093" w:type="dxa"/>
            <w:vMerge/>
          </w:tcPr>
          <w:p w:rsidR="00E42185" w:rsidRDefault="00E42185" w:rsidP="00E71928">
            <w:pPr>
              <w:autoSpaceDE w:val="0"/>
              <w:autoSpaceDN w:val="0"/>
              <w:adjustRightInd w:val="0"/>
              <w:rPr>
                <w:rFonts w:ascii="Arial" w:hAnsi="Arial" w:cs="Arial"/>
                <w:sz w:val="24"/>
                <w:szCs w:val="24"/>
              </w:rPr>
            </w:pPr>
          </w:p>
        </w:tc>
        <w:tc>
          <w:tcPr>
            <w:tcW w:w="2410" w:type="dxa"/>
          </w:tcPr>
          <w:p w:rsidR="00E42185" w:rsidRDefault="00E42185" w:rsidP="00E71928">
            <w:r w:rsidRPr="00693913">
              <w:rPr>
                <w:b/>
              </w:rPr>
              <w:t>2.3</w:t>
            </w:r>
            <w:r>
              <w:t xml:space="preserve"> Analyse de l’apport de 3 vitamines et minéraux choisis</w:t>
            </w:r>
            <w:r>
              <w:rPr>
                <w:vanish/>
              </w:rPr>
              <w:t xml:space="preserve"> 50% ou au-dessus de 200%)</w:t>
            </w:r>
            <w:r>
              <w:t xml:space="preserve"> </w:t>
            </w:r>
          </w:p>
          <w:p w:rsidR="00E42185" w:rsidRDefault="00E42185" w:rsidP="00E71928"/>
          <w:p w:rsidR="00E42185" w:rsidRDefault="00E42185" w:rsidP="00E71928"/>
          <w:p w:rsidR="00E42185" w:rsidRDefault="00E42185" w:rsidP="00E71928"/>
          <w:p w:rsidR="00E42185" w:rsidRDefault="00E42185" w:rsidP="00E71928"/>
          <w:p w:rsidR="00E42185" w:rsidRDefault="00E42185" w:rsidP="00E71928"/>
          <w:p w:rsidR="00E42185" w:rsidRDefault="00E42185" w:rsidP="00E71928"/>
          <w:p w:rsidR="00E42185" w:rsidRDefault="00E42185" w:rsidP="00E71928"/>
          <w:p w:rsidR="00E42185" w:rsidRDefault="00E42185" w:rsidP="00E71928"/>
          <w:p w:rsidR="00E42185" w:rsidRDefault="00E42185" w:rsidP="00E71928">
            <w:pPr>
              <w:jc w:val="right"/>
            </w:pPr>
            <w:r>
              <w:t>/5</w:t>
            </w:r>
          </w:p>
        </w:tc>
        <w:tc>
          <w:tcPr>
            <w:tcW w:w="2551" w:type="dxa"/>
          </w:tcPr>
          <w:p w:rsidR="00E42185" w:rsidRDefault="00E42185" w:rsidP="00E71928">
            <w:r>
              <w:t>Les écarts obtenus entre l’apport réel de trois vitamines ou minéraux et celui recommandé pour ceux-ci ne sont pas tous précisés.  L’étudiant ne peut expliquer  les conséquences à long terme de ses carences ou ses apports excessifs.   Aucune recommandation n’est formulée.</w:t>
            </w:r>
          </w:p>
        </w:tc>
        <w:tc>
          <w:tcPr>
            <w:tcW w:w="2977" w:type="dxa"/>
          </w:tcPr>
          <w:p w:rsidR="00E42185" w:rsidRDefault="00E42185" w:rsidP="00E71928">
            <w:r>
              <w:t>Les écarts obtenus entre l’apport réel de trois vitamines ou minéraux et celui recommandé pour ceux-ci sont précisés.  L’étudiant explique vaguement les conséquences à long terme de ses carences ou ses apports excessifs.  Pour chaque vitamine ou minéral, une recommandation est formulée.</w:t>
            </w:r>
          </w:p>
        </w:tc>
        <w:tc>
          <w:tcPr>
            <w:tcW w:w="3500" w:type="dxa"/>
          </w:tcPr>
          <w:p w:rsidR="00E42185" w:rsidRDefault="00E42185" w:rsidP="00E71928">
            <w:r>
              <w:t>Les écarts obtenus entre l’apport réel de trois vitamines ou minéraux et celui recommandé pour ceux-ci sont précisés.  L’étudiant explique précisément  les conséquences à long terme de ses carences ou ses apports excessifs.  Pour chaque vitamine ou minéral, deux recommandations sont formulées.</w:t>
            </w:r>
          </w:p>
        </w:tc>
      </w:tr>
      <w:tr w:rsidR="00E42185" w:rsidTr="00E71928">
        <w:trPr>
          <w:trHeight w:val="1412"/>
        </w:trPr>
        <w:tc>
          <w:tcPr>
            <w:tcW w:w="2093" w:type="dxa"/>
            <w:vMerge/>
          </w:tcPr>
          <w:p w:rsidR="00E42185" w:rsidRDefault="00E42185" w:rsidP="00E71928">
            <w:pPr>
              <w:autoSpaceDE w:val="0"/>
              <w:autoSpaceDN w:val="0"/>
              <w:adjustRightInd w:val="0"/>
              <w:rPr>
                <w:rFonts w:ascii="Arial" w:hAnsi="Arial" w:cs="Arial"/>
                <w:sz w:val="24"/>
                <w:szCs w:val="24"/>
              </w:rPr>
            </w:pPr>
          </w:p>
        </w:tc>
        <w:tc>
          <w:tcPr>
            <w:tcW w:w="2410" w:type="dxa"/>
          </w:tcPr>
          <w:p w:rsidR="00E42185" w:rsidRDefault="00E42185" w:rsidP="00E71928">
            <w:r>
              <w:rPr>
                <w:b/>
              </w:rPr>
              <w:t xml:space="preserve">2.4  </w:t>
            </w:r>
            <w:r>
              <w:t>Conclusion : vérifier  l’hypothèse de départ</w:t>
            </w:r>
          </w:p>
          <w:p w:rsidR="00E42185" w:rsidRDefault="00E42185" w:rsidP="00E71928"/>
          <w:p w:rsidR="00E42185" w:rsidRDefault="00E42185" w:rsidP="00E71928"/>
          <w:p w:rsidR="00E42185" w:rsidRPr="00FD4412" w:rsidRDefault="00E42185" w:rsidP="00E71928">
            <w:pPr>
              <w:jc w:val="right"/>
            </w:pPr>
            <w:r>
              <w:t>/5</w:t>
            </w:r>
          </w:p>
        </w:tc>
        <w:tc>
          <w:tcPr>
            <w:tcW w:w="2551" w:type="dxa"/>
          </w:tcPr>
          <w:p w:rsidR="00E42185" w:rsidRDefault="00E42185" w:rsidP="00E71928">
            <w:r>
              <w:t>Les éléments de l’hypothèse sont confirmés ou infirmés.</w:t>
            </w:r>
          </w:p>
        </w:tc>
        <w:tc>
          <w:tcPr>
            <w:tcW w:w="2977" w:type="dxa"/>
          </w:tcPr>
          <w:p w:rsidR="00E42185" w:rsidRDefault="00E42185" w:rsidP="00E71928">
            <w:r>
              <w:t>Les éléments de l’hypothèse sont confirmés ou infirmés.  Il y a une synthèse partielle des trois analyses ci-haut.</w:t>
            </w:r>
          </w:p>
        </w:tc>
        <w:tc>
          <w:tcPr>
            <w:tcW w:w="3500" w:type="dxa"/>
          </w:tcPr>
          <w:p w:rsidR="00E42185" w:rsidRDefault="00E42185" w:rsidP="00E71928">
            <w:r>
              <w:t>Les éléments de l’hypothèse sont confirmés ou infirmés.  Il y a une synthèse des trois analyses ci-haut.</w:t>
            </w:r>
          </w:p>
        </w:tc>
      </w:tr>
    </w:tbl>
    <w:p w:rsidR="0034757D" w:rsidRDefault="0034757D"/>
    <w:sectPr w:rsidR="0034757D" w:rsidSect="00E4218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85"/>
    <w:rsid w:val="0034757D"/>
    <w:rsid w:val="00AF6123"/>
    <w:rsid w:val="00E421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4179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 Beaudoin</dc:creator>
  <cp:lastModifiedBy>Marie-Pier Beaudoin</cp:lastModifiedBy>
  <cp:revision>2</cp:revision>
  <dcterms:created xsi:type="dcterms:W3CDTF">2015-03-02T15:18:00Z</dcterms:created>
  <dcterms:modified xsi:type="dcterms:W3CDTF">2015-03-02T15:18:00Z</dcterms:modified>
</cp:coreProperties>
</file>