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9D" w:rsidRPr="00C0532F" w:rsidRDefault="00C0532F" w:rsidP="00C0532F">
      <w:pPr>
        <w:jc w:val="center"/>
        <w:rPr>
          <w:rFonts w:ascii="Baskerville Old Face" w:hAnsi="Baskerville Old Face"/>
          <w:sz w:val="32"/>
          <w:u w:val="single"/>
        </w:rPr>
      </w:pPr>
      <w:bookmarkStart w:id="0" w:name="_GoBack"/>
      <w:r w:rsidRPr="00C0532F">
        <w:rPr>
          <w:rFonts w:ascii="Baskerville Old Face" w:hAnsi="Baskerville Old Face"/>
          <w:sz w:val="32"/>
          <w:u w:val="single"/>
        </w:rPr>
        <w:t>TREATMENT OF GASTROINTESTINAL ULCERS</w:t>
      </w:r>
    </w:p>
    <w:bookmarkEnd w:id="0"/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 xml:space="preserve">Primary treatment of GI ulceration is directed at the underlying cause. </w:t>
      </w:r>
    </w:p>
    <w:p w:rsid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 xml:space="preserve">Supportive care may be required to correct metabolic derangements and can include fluid therapy. </w:t>
      </w:r>
    </w:p>
    <w:p w:rsid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P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>Medication directed at the ulcer itself reduces gastric acidity, prevents further destruction of GI mucosa, and promotes ulcer healing.</w:t>
      </w:r>
    </w:p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 xml:space="preserve">In general, </w:t>
      </w:r>
      <w:proofErr w:type="spellStart"/>
      <w:r w:rsidRPr="00C0532F">
        <w:rPr>
          <w:rFonts w:ascii="Baskerville Old Face" w:hAnsi="Baskerville Old Face"/>
          <w:sz w:val="28"/>
        </w:rPr>
        <w:t>antiulcerative</w:t>
      </w:r>
      <w:proofErr w:type="spellEnd"/>
      <w:r w:rsidRPr="00C0532F">
        <w:rPr>
          <w:rFonts w:ascii="Baskerville Old Face" w:hAnsi="Baskerville Old Face"/>
          <w:sz w:val="28"/>
        </w:rPr>
        <w:t xml:space="preserve"> therapy should be continued for 6–8 wk.</w:t>
      </w:r>
      <w:bookmarkStart w:id="1" w:name="v3266584"/>
      <w:bookmarkEnd w:id="1"/>
    </w:p>
    <w:p w:rsid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 xml:space="preserve">Gastric acid production is stimulated by histamine (most potent), gastrin, and acetylcholine. Drugs that decrease acid secretion help protect damaged GI mucosa. </w:t>
      </w:r>
    </w:p>
    <w:p w:rsidR="00C0532F" w:rsidRP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>Histamine-2 receptor blockers (</w:t>
      </w:r>
      <w:proofErr w:type="spellStart"/>
      <w:r w:rsidRPr="00C0532F">
        <w:rPr>
          <w:rFonts w:ascii="Baskerville Old Face" w:hAnsi="Baskerville Old Face"/>
          <w:sz w:val="28"/>
        </w:rPr>
        <w:t>eg</w:t>
      </w:r>
      <w:proofErr w:type="spellEnd"/>
      <w:r w:rsidRPr="00C0532F">
        <w:rPr>
          <w:rFonts w:ascii="Baskerville Old Face" w:hAnsi="Baskerville Old Face"/>
          <w:sz w:val="28"/>
        </w:rPr>
        <w:t xml:space="preserve">, cimetidine, famotidine) promote mucosal healing, and some agents also act as </w:t>
      </w:r>
      <w:proofErr w:type="spellStart"/>
      <w:r w:rsidRPr="00C0532F">
        <w:rPr>
          <w:rFonts w:ascii="Baskerville Old Face" w:hAnsi="Baskerville Old Face"/>
          <w:sz w:val="28"/>
        </w:rPr>
        <w:t>prokinetics</w:t>
      </w:r>
      <w:proofErr w:type="spellEnd"/>
      <w:r w:rsidRPr="00C0532F">
        <w:rPr>
          <w:rFonts w:ascii="Baskerville Old Face" w:hAnsi="Baskerville Old Face"/>
          <w:sz w:val="28"/>
        </w:rPr>
        <w:t xml:space="preserve"> (</w:t>
      </w:r>
      <w:proofErr w:type="spellStart"/>
      <w:r w:rsidRPr="00C0532F">
        <w:rPr>
          <w:rFonts w:ascii="Baskerville Old Face" w:hAnsi="Baskerville Old Face"/>
          <w:sz w:val="28"/>
        </w:rPr>
        <w:t>eg</w:t>
      </w:r>
      <w:proofErr w:type="spellEnd"/>
      <w:r w:rsidRPr="00C0532F">
        <w:rPr>
          <w:rFonts w:ascii="Baskerville Old Face" w:hAnsi="Baskerville Old Face"/>
          <w:sz w:val="28"/>
        </w:rPr>
        <w:t xml:space="preserve">, ranitidine). While no drug has been found to be clinically more efficacious that another, famotidine (0.5–1, mg/kg, PO, SC, or IV, bid) is more potent in reducing gastric pH than cimetidine (10 mg/kg, PO, IM, or IV, </w:t>
      </w:r>
      <w:proofErr w:type="spellStart"/>
      <w:r w:rsidRPr="00C0532F">
        <w:rPr>
          <w:rFonts w:ascii="Baskerville Old Face" w:hAnsi="Baskerville Old Face"/>
          <w:sz w:val="28"/>
        </w:rPr>
        <w:t>tid</w:t>
      </w:r>
      <w:proofErr w:type="spellEnd"/>
      <w:r w:rsidRPr="00C0532F">
        <w:rPr>
          <w:rFonts w:ascii="Baskerville Old Face" w:hAnsi="Baskerville Old Face"/>
          <w:sz w:val="28"/>
        </w:rPr>
        <w:t xml:space="preserve">) or ranitidine (dogs: 2 mg/kg, PO or IV, </w:t>
      </w:r>
      <w:proofErr w:type="spellStart"/>
      <w:r w:rsidRPr="00C0532F">
        <w:rPr>
          <w:rFonts w:ascii="Baskerville Old Face" w:hAnsi="Baskerville Old Face"/>
          <w:sz w:val="28"/>
        </w:rPr>
        <w:t>tid</w:t>
      </w:r>
      <w:proofErr w:type="spellEnd"/>
      <w:r w:rsidRPr="00C0532F">
        <w:rPr>
          <w:rFonts w:ascii="Baskerville Old Face" w:hAnsi="Baskerville Old Face"/>
          <w:sz w:val="28"/>
        </w:rPr>
        <w:t xml:space="preserve">; cats 2.5 mg/kg, IV, bid, or 3.5 mg/kg, PO, bid). </w:t>
      </w:r>
    </w:p>
    <w:p w:rsidR="00C0532F" w:rsidRP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>Proton pump inhibitors (</w:t>
      </w:r>
      <w:proofErr w:type="spellStart"/>
      <w:r w:rsidRPr="00C0532F">
        <w:rPr>
          <w:rFonts w:ascii="Baskerville Old Face" w:hAnsi="Baskerville Old Face"/>
          <w:sz w:val="28"/>
        </w:rPr>
        <w:t>eg</w:t>
      </w:r>
      <w:proofErr w:type="spellEnd"/>
      <w:r w:rsidRPr="00C0532F">
        <w:rPr>
          <w:rFonts w:ascii="Baskerville Old Face" w:hAnsi="Baskerville Old Face"/>
          <w:sz w:val="28"/>
        </w:rPr>
        <w:t xml:space="preserve">, omeprazole 0.5–1 mg/kg, PO, </w:t>
      </w:r>
      <w:proofErr w:type="spellStart"/>
      <w:proofErr w:type="gramStart"/>
      <w:r w:rsidRPr="00C0532F">
        <w:rPr>
          <w:rFonts w:ascii="Baskerville Old Face" w:hAnsi="Baskerville Old Face"/>
          <w:sz w:val="28"/>
        </w:rPr>
        <w:t>sid</w:t>
      </w:r>
      <w:proofErr w:type="spellEnd"/>
      <w:proofErr w:type="gramEnd"/>
      <w:r w:rsidRPr="00C0532F">
        <w:rPr>
          <w:rFonts w:ascii="Baskerville Old Face" w:hAnsi="Baskerville Old Face"/>
          <w:sz w:val="28"/>
        </w:rPr>
        <w:t xml:space="preserve">) are useful for more severe ulcers, because they are more potent inhibitors of gastric acid secretion. Use of the proton pump inhibitor pantoprazole (0.5–1 mg/kg, IV, </w:t>
      </w:r>
      <w:proofErr w:type="spellStart"/>
      <w:proofErr w:type="gramStart"/>
      <w:r w:rsidRPr="00C0532F">
        <w:rPr>
          <w:rFonts w:ascii="Baskerville Old Face" w:hAnsi="Baskerville Old Face"/>
          <w:sz w:val="28"/>
        </w:rPr>
        <w:t>sid</w:t>
      </w:r>
      <w:proofErr w:type="spellEnd"/>
      <w:proofErr w:type="gramEnd"/>
      <w:r w:rsidRPr="00C0532F">
        <w:rPr>
          <w:rFonts w:ascii="Baskerville Old Face" w:hAnsi="Baskerville Old Face"/>
          <w:sz w:val="28"/>
        </w:rPr>
        <w:t xml:space="preserve">) has been reported in dogs and cats. </w:t>
      </w:r>
    </w:p>
    <w:p w:rsidR="00C0532F" w:rsidRP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P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t>Prophylactic use of H</w:t>
      </w:r>
      <w:r w:rsidRPr="00C0532F">
        <w:rPr>
          <w:rFonts w:ascii="Baskerville Old Face" w:hAnsi="Baskerville Old Face"/>
          <w:sz w:val="28"/>
          <w:vertAlign w:val="subscript"/>
        </w:rPr>
        <w:t>2</w:t>
      </w:r>
      <w:r w:rsidRPr="00C0532F">
        <w:rPr>
          <w:rFonts w:ascii="Baskerville Old Face" w:hAnsi="Baskerville Old Face"/>
          <w:sz w:val="28"/>
        </w:rPr>
        <w:t>-blockers and proton pump inhibitors may not decrease the risk of GI ulceration in animals predisposed to ulcer formation.</w:t>
      </w:r>
    </w:p>
    <w:p w:rsid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  <w:bookmarkStart w:id="2" w:name="v3266585"/>
      <w:bookmarkEnd w:id="2"/>
    </w:p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proofErr w:type="spellStart"/>
      <w:r w:rsidRPr="00C0532F">
        <w:rPr>
          <w:rFonts w:ascii="Baskerville Old Face" w:hAnsi="Baskerville Old Face"/>
          <w:sz w:val="28"/>
        </w:rPr>
        <w:t>Cytoprotective</w:t>
      </w:r>
      <w:proofErr w:type="spellEnd"/>
      <w:r w:rsidRPr="00C0532F">
        <w:rPr>
          <w:rFonts w:ascii="Baskerville Old Face" w:hAnsi="Baskerville Old Face"/>
          <w:sz w:val="28"/>
        </w:rPr>
        <w:t xml:space="preserve"> agents include antacids and </w:t>
      </w:r>
      <w:proofErr w:type="spellStart"/>
      <w:r w:rsidRPr="00C0532F">
        <w:rPr>
          <w:rFonts w:ascii="Baskerville Old Face" w:hAnsi="Baskerville Old Face"/>
          <w:sz w:val="28"/>
        </w:rPr>
        <w:t>sucralfate</w:t>
      </w:r>
      <w:proofErr w:type="spellEnd"/>
      <w:r w:rsidRPr="00C0532F">
        <w:rPr>
          <w:rFonts w:ascii="Baskerville Old Face" w:hAnsi="Baskerville Old Face"/>
          <w:sz w:val="28"/>
        </w:rPr>
        <w:t xml:space="preserve">. Antacids are weak bases that neutralize gastric acid within the stomach lumen; they may also promote gastric prostaglandin production. </w:t>
      </w:r>
    </w:p>
    <w:p w:rsidR="00C0532F" w:rsidRP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r w:rsidRPr="00C0532F">
        <w:rPr>
          <w:rFonts w:ascii="Baskerville Old Face" w:hAnsi="Baskerville Old Face"/>
          <w:sz w:val="28"/>
        </w:rPr>
        <w:lastRenderedPageBreak/>
        <w:t xml:space="preserve">Aluminum- or magnesium-containing antacids are considered the most effective with the fewest adverse effects, although they can lead to constipation. Rebound gastric acidity often occurs because of their short half-life. For this reason, antacids are no longer routinely used. </w:t>
      </w:r>
    </w:p>
    <w:p w:rsidR="00C0532F" w:rsidRPr="00C0532F" w:rsidRDefault="00C0532F" w:rsidP="00C0532F">
      <w:pPr>
        <w:pStyle w:val="ListParagraph"/>
        <w:rPr>
          <w:rFonts w:ascii="Baskerville Old Face" w:hAnsi="Baskerville Old Face"/>
          <w:sz w:val="28"/>
        </w:rPr>
      </w:pPr>
    </w:p>
    <w:p w:rsidR="00C0532F" w:rsidRPr="00C0532F" w:rsidRDefault="00C0532F" w:rsidP="00C0532F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8"/>
        </w:rPr>
      </w:pPr>
      <w:proofErr w:type="spellStart"/>
      <w:r w:rsidRPr="00C0532F">
        <w:rPr>
          <w:rFonts w:ascii="Baskerville Old Face" w:hAnsi="Baskerville Old Face"/>
          <w:sz w:val="28"/>
        </w:rPr>
        <w:t>Sucralfate</w:t>
      </w:r>
      <w:proofErr w:type="spellEnd"/>
      <w:r w:rsidRPr="00C0532F">
        <w:rPr>
          <w:rFonts w:ascii="Baskerville Old Face" w:hAnsi="Baskerville Old Face"/>
          <w:sz w:val="28"/>
        </w:rPr>
        <w:t xml:space="preserve"> (dogs: 0.5–1 g, PO, bid-</w:t>
      </w:r>
      <w:proofErr w:type="spellStart"/>
      <w:r w:rsidRPr="00C0532F">
        <w:rPr>
          <w:rFonts w:ascii="Baskerville Old Face" w:hAnsi="Baskerville Old Face"/>
          <w:sz w:val="28"/>
        </w:rPr>
        <w:t>tid</w:t>
      </w:r>
      <w:proofErr w:type="spellEnd"/>
      <w:r w:rsidRPr="00C0532F">
        <w:rPr>
          <w:rFonts w:ascii="Baskerville Old Face" w:hAnsi="Baskerville Old Face"/>
          <w:sz w:val="28"/>
        </w:rPr>
        <w:t>; cats: 0.25 g, PO, bid-</w:t>
      </w:r>
      <w:proofErr w:type="spellStart"/>
      <w:r w:rsidRPr="00C0532F">
        <w:rPr>
          <w:rFonts w:ascii="Baskerville Old Face" w:hAnsi="Baskerville Old Face"/>
          <w:sz w:val="28"/>
        </w:rPr>
        <w:t>tid</w:t>
      </w:r>
      <w:proofErr w:type="spellEnd"/>
      <w:r w:rsidRPr="00C0532F">
        <w:rPr>
          <w:rFonts w:ascii="Baskerville Old Face" w:hAnsi="Baskerville Old Face"/>
          <w:sz w:val="28"/>
        </w:rPr>
        <w:t xml:space="preserve">) is a </w:t>
      </w:r>
      <w:proofErr w:type="spellStart"/>
      <w:r w:rsidRPr="00C0532F">
        <w:rPr>
          <w:rFonts w:ascii="Baskerville Old Face" w:hAnsi="Baskerville Old Face"/>
          <w:sz w:val="28"/>
        </w:rPr>
        <w:t>polyaluminum</w:t>
      </w:r>
      <w:proofErr w:type="spellEnd"/>
      <w:r w:rsidRPr="00C0532F">
        <w:rPr>
          <w:rFonts w:ascii="Baskerville Old Face" w:hAnsi="Baskerville Old Face"/>
          <w:sz w:val="28"/>
        </w:rPr>
        <w:t xml:space="preserve"> sucrose sulfate that binds to areas of eroded or ulcerated GI mucosa. Because it inhibits absorption, it should not be given within 2 </w:t>
      </w:r>
      <w:proofErr w:type="spellStart"/>
      <w:r w:rsidRPr="00C0532F">
        <w:rPr>
          <w:rFonts w:ascii="Baskerville Old Face" w:hAnsi="Baskerville Old Face"/>
          <w:sz w:val="28"/>
        </w:rPr>
        <w:t>hr</w:t>
      </w:r>
      <w:proofErr w:type="spellEnd"/>
      <w:r w:rsidRPr="00C0532F">
        <w:rPr>
          <w:rFonts w:ascii="Baskerville Old Face" w:hAnsi="Baskerville Old Face"/>
          <w:sz w:val="28"/>
        </w:rPr>
        <w:t xml:space="preserve"> of food or other drugs. The prostaglandin E</w:t>
      </w:r>
      <w:r w:rsidRPr="00C0532F">
        <w:rPr>
          <w:rFonts w:ascii="Baskerville Old Face" w:hAnsi="Baskerville Old Face"/>
          <w:sz w:val="28"/>
          <w:vertAlign w:val="subscript"/>
        </w:rPr>
        <w:t>2</w:t>
      </w:r>
      <w:r w:rsidRPr="00C0532F">
        <w:rPr>
          <w:rFonts w:ascii="Baskerville Old Face" w:hAnsi="Baskerville Old Face"/>
          <w:sz w:val="28"/>
        </w:rPr>
        <w:t xml:space="preserve"> analog, misoprostol, is used to help prevent NSAID-associated </w:t>
      </w:r>
      <w:proofErr w:type="gramStart"/>
      <w:r w:rsidRPr="00C0532F">
        <w:rPr>
          <w:rFonts w:ascii="Baskerville Old Face" w:hAnsi="Baskerville Old Face"/>
          <w:sz w:val="28"/>
        </w:rPr>
        <w:t>ulcer</w:t>
      </w:r>
      <w:proofErr w:type="gramEnd"/>
      <w:r w:rsidRPr="00C0532F">
        <w:rPr>
          <w:rFonts w:ascii="Baskerville Old Face" w:hAnsi="Baskerville Old Face"/>
          <w:sz w:val="28"/>
        </w:rPr>
        <w:t xml:space="preserve"> formulation but does not assist in mucosal healing or decrease acid secretion.</w:t>
      </w:r>
    </w:p>
    <w:p w:rsidR="00C0532F" w:rsidRPr="00C0532F" w:rsidRDefault="00C0532F" w:rsidP="00C0532F">
      <w:pPr>
        <w:rPr>
          <w:rFonts w:ascii="Baskerville Old Face" w:hAnsi="Baskerville Old Face"/>
          <w:sz w:val="28"/>
        </w:rPr>
      </w:pPr>
    </w:p>
    <w:sectPr w:rsidR="00C0532F" w:rsidRPr="00C0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62"/>
    <w:multiLevelType w:val="hybridMultilevel"/>
    <w:tmpl w:val="D37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7525"/>
    <w:multiLevelType w:val="hybridMultilevel"/>
    <w:tmpl w:val="BC60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2F"/>
    <w:rsid w:val="00BC7B9D"/>
    <w:rsid w:val="00C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2014-11-05T15:21:00Z</dcterms:created>
  <dcterms:modified xsi:type="dcterms:W3CDTF">2014-11-05T15:24:00Z</dcterms:modified>
</cp:coreProperties>
</file>