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B9B" w:rsidRDefault="00ED6A49" w:rsidP="00ED6A49">
      <w:pPr>
        <w:jc w:val="center"/>
        <w:rPr>
          <w:rFonts w:ascii="Algerian" w:hAnsi="Algerian"/>
          <w:sz w:val="36"/>
        </w:rPr>
      </w:pPr>
      <w:r w:rsidRPr="00ED6A49">
        <w:rPr>
          <w:rFonts w:ascii="Algerian" w:hAnsi="Algerian"/>
          <w:sz w:val="36"/>
        </w:rPr>
        <w:t>LOCAL ANAESTHETICS</w:t>
      </w:r>
    </w:p>
    <w:p w:rsidR="00ED6A49" w:rsidRPr="00ED6A49" w:rsidRDefault="00ED6A49" w:rsidP="00ED6A49">
      <w:pPr>
        <w:shd w:val="clear" w:color="auto" w:fill="FFFFFF"/>
        <w:spacing w:before="100" w:beforeAutospacing="1" w:after="0" w:line="240" w:lineRule="auto"/>
        <w:ind w:left="720"/>
        <w:rPr>
          <w:rFonts w:asciiTheme="majorHAnsi" w:eastAsia="Times New Roman" w:hAnsiTheme="majorHAnsi" w:cs="Times New Roman"/>
          <w:color w:val="000000"/>
          <w:sz w:val="40"/>
          <w:szCs w:val="27"/>
        </w:rPr>
      </w:pPr>
      <w:r w:rsidRPr="00ED6A49">
        <w:rPr>
          <w:rFonts w:asciiTheme="majorHAnsi" w:eastAsia="Times New Roman" w:hAnsiTheme="majorHAnsi" w:cs="Arial"/>
          <w:color w:val="000000"/>
          <w:sz w:val="32"/>
          <w:szCs w:val="20"/>
        </w:rPr>
        <w:t>Common local anesthetics are procaine (</w:t>
      </w:r>
      <w:proofErr w:type="spellStart"/>
      <w:r w:rsidRPr="00ED6A49">
        <w:rPr>
          <w:rFonts w:asciiTheme="majorHAnsi" w:eastAsia="Times New Roman" w:hAnsiTheme="majorHAnsi" w:cs="Arial"/>
          <w:color w:val="000000"/>
          <w:sz w:val="32"/>
          <w:szCs w:val="20"/>
        </w:rPr>
        <w:t>Novacaine</w:t>
      </w:r>
      <w:proofErr w:type="spellEnd"/>
      <w:r w:rsidRPr="00ED6A49">
        <w:rPr>
          <w:rFonts w:asciiTheme="majorHAnsi" w:eastAsia="Times New Roman" w:hAnsiTheme="majorHAnsi" w:cs="Arial"/>
          <w:color w:val="000000"/>
          <w:sz w:val="32"/>
          <w:szCs w:val="20"/>
        </w:rPr>
        <w:t xml:space="preserve">), </w:t>
      </w:r>
      <w:proofErr w:type="spellStart"/>
      <w:r w:rsidRPr="00ED6A49">
        <w:rPr>
          <w:rFonts w:asciiTheme="majorHAnsi" w:eastAsia="Times New Roman" w:hAnsiTheme="majorHAnsi" w:cs="Arial"/>
          <w:color w:val="000000"/>
          <w:sz w:val="32"/>
          <w:szCs w:val="20"/>
        </w:rPr>
        <w:t>bupivicaine</w:t>
      </w:r>
      <w:proofErr w:type="spellEnd"/>
      <w:r w:rsidRPr="00ED6A49">
        <w:rPr>
          <w:rFonts w:asciiTheme="majorHAnsi" w:eastAsia="Times New Roman" w:hAnsiTheme="majorHAnsi" w:cs="Arial"/>
          <w:color w:val="000000"/>
          <w:sz w:val="32"/>
          <w:szCs w:val="20"/>
        </w:rPr>
        <w:t>, </w:t>
      </w:r>
      <w:hyperlink r:id="rId6" w:anchor="Lidocaine" w:history="1">
        <w:r w:rsidRPr="00ED6A49">
          <w:rPr>
            <w:rFonts w:asciiTheme="majorHAnsi" w:eastAsia="Times New Roman" w:hAnsiTheme="majorHAnsi" w:cs="Arial"/>
            <w:color w:val="0000FF"/>
            <w:sz w:val="32"/>
            <w:szCs w:val="20"/>
            <w:u w:val="single"/>
          </w:rPr>
          <w:t>lidocaine</w:t>
        </w:r>
      </w:hyperlink>
      <w:r w:rsidRPr="00ED6A49">
        <w:rPr>
          <w:rFonts w:asciiTheme="majorHAnsi" w:eastAsia="Times New Roman" w:hAnsiTheme="majorHAnsi" w:cs="Arial"/>
          <w:color w:val="000000"/>
          <w:sz w:val="32"/>
          <w:szCs w:val="20"/>
        </w:rPr>
        <w:t> (</w:t>
      </w:r>
      <w:proofErr w:type="spellStart"/>
      <w:r w:rsidRPr="00ED6A49">
        <w:rPr>
          <w:rFonts w:asciiTheme="majorHAnsi" w:eastAsia="Times New Roman" w:hAnsiTheme="majorHAnsi" w:cs="Arial"/>
          <w:color w:val="000000"/>
          <w:sz w:val="32"/>
          <w:szCs w:val="20"/>
        </w:rPr>
        <w:t>Xylocaine</w:t>
      </w:r>
      <w:proofErr w:type="spellEnd"/>
      <w:r w:rsidRPr="00ED6A49">
        <w:rPr>
          <w:rFonts w:asciiTheme="majorHAnsi" w:eastAsia="Times New Roman" w:hAnsiTheme="majorHAnsi" w:cs="Arial"/>
          <w:color w:val="000000"/>
          <w:sz w:val="32"/>
          <w:szCs w:val="20"/>
        </w:rPr>
        <w:t xml:space="preserve">) and </w:t>
      </w:r>
      <w:proofErr w:type="spellStart"/>
      <w:r w:rsidRPr="00ED6A49">
        <w:rPr>
          <w:rFonts w:asciiTheme="majorHAnsi" w:eastAsia="Times New Roman" w:hAnsiTheme="majorHAnsi" w:cs="Arial"/>
          <w:color w:val="000000"/>
          <w:sz w:val="32"/>
          <w:szCs w:val="20"/>
        </w:rPr>
        <w:t>proparacaine</w:t>
      </w:r>
      <w:proofErr w:type="spellEnd"/>
      <w:r w:rsidRPr="00ED6A49">
        <w:rPr>
          <w:rFonts w:asciiTheme="majorHAnsi" w:eastAsia="Times New Roman" w:hAnsiTheme="majorHAnsi" w:cs="Arial"/>
          <w:color w:val="000000"/>
          <w:sz w:val="32"/>
          <w:szCs w:val="20"/>
        </w:rPr>
        <w:t>. Considerable experience and skill are necessary in the administration of local anesthetics to animals, and aseptic techniques must be employed. Some animals must be sedated before local anesthetics are injected. </w:t>
      </w:r>
    </w:p>
    <w:p w:rsidR="00ED6A49" w:rsidRPr="00ED6A49" w:rsidRDefault="00ED6A49" w:rsidP="00ED6A49">
      <w:pPr>
        <w:shd w:val="clear" w:color="auto" w:fill="FFFFFF"/>
        <w:spacing w:before="100" w:beforeAutospacing="1" w:after="0" w:line="240" w:lineRule="auto"/>
        <w:ind w:left="720"/>
        <w:rPr>
          <w:rFonts w:asciiTheme="majorHAnsi" w:eastAsia="Times New Roman" w:hAnsiTheme="majorHAnsi" w:cs="Times New Roman"/>
          <w:color w:val="000000"/>
          <w:sz w:val="40"/>
          <w:szCs w:val="27"/>
        </w:rPr>
      </w:pPr>
      <w:r w:rsidRPr="00ED6A49">
        <w:rPr>
          <w:rFonts w:asciiTheme="majorHAnsi" w:eastAsia="Times New Roman" w:hAnsiTheme="majorHAnsi" w:cs="Arial"/>
          <w:color w:val="000000"/>
          <w:sz w:val="32"/>
          <w:szCs w:val="20"/>
        </w:rPr>
        <w:t>L</w:t>
      </w:r>
      <w:bookmarkStart w:id="0" w:name="_GoBack"/>
      <w:bookmarkEnd w:id="0"/>
      <w:r w:rsidRPr="00ED6A49">
        <w:rPr>
          <w:rFonts w:asciiTheme="majorHAnsi" w:eastAsia="Times New Roman" w:hAnsiTheme="majorHAnsi" w:cs="Arial"/>
          <w:color w:val="000000"/>
          <w:sz w:val="32"/>
          <w:szCs w:val="20"/>
        </w:rPr>
        <w:t>ocal anesthetics may be administered by several techniques. Anesthetic effects are seen within 15 minutes of administration and may last from 45 minutes to several hours, depending on the drug used.</w:t>
      </w:r>
    </w:p>
    <w:p w:rsidR="00ED6A49" w:rsidRPr="00ED6A49" w:rsidRDefault="00ED6A49" w:rsidP="00ED6A49">
      <w:pPr>
        <w:numPr>
          <w:ilvl w:val="1"/>
          <w:numId w:val="1"/>
        </w:numPr>
        <w:shd w:val="clear" w:color="auto" w:fill="FFFFFF"/>
        <w:spacing w:before="100" w:beforeAutospacing="1" w:after="100" w:afterAutospacing="1" w:line="240" w:lineRule="auto"/>
        <w:rPr>
          <w:rFonts w:asciiTheme="majorHAnsi" w:eastAsia="Times New Roman" w:hAnsiTheme="majorHAnsi" w:cs="Times New Roman"/>
          <w:color w:val="000000"/>
          <w:sz w:val="40"/>
          <w:szCs w:val="27"/>
        </w:rPr>
      </w:pPr>
      <w:r w:rsidRPr="00ED6A49">
        <w:rPr>
          <w:rFonts w:asciiTheme="majorHAnsi" w:eastAsia="Times New Roman" w:hAnsiTheme="majorHAnsi" w:cs="Arial"/>
          <w:i/>
          <w:iCs/>
          <w:color w:val="000000"/>
          <w:sz w:val="32"/>
          <w:szCs w:val="20"/>
        </w:rPr>
        <w:t>Infiltration or infusion- </w:t>
      </w:r>
      <w:r w:rsidRPr="00ED6A49">
        <w:rPr>
          <w:rFonts w:asciiTheme="majorHAnsi" w:eastAsia="Times New Roman" w:hAnsiTheme="majorHAnsi" w:cs="Arial"/>
          <w:color w:val="000000"/>
          <w:sz w:val="32"/>
          <w:szCs w:val="20"/>
        </w:rPr>
        <w:t>injection beneath the skin and other tissue layers along the site of an incision before or after a procedure</w:t>
      </w:r>
    </w:p>
    <w:p w:rsidR="00ED6A49" w:rsidRPr="00ED6A49" w:rsidRDefault="00ED6A49" w:rsidP="00ED6A49">
      <w:pPr>
        <w:numPr>
          <w:ilvl w:val="1"/>
          <w:numId w:val="1"/>
        </w:numPr>
        <w:shd w:val="clear" w:color="auto" w:fill="FFFFFF"/>
        <w:spacing w:before="100" w:beforeAutospacing="1" w:after="100" w:afterAutospacing="1" w:line="240" w:lineRule="auto"/>
        <w:rPr>
          <w:rFonts w:asciiTheme="majorHAnsi" w:eastAsia="Times New Roman" w:hAnsiTheme="majorHAnsi" w:cs="Times New Roman"/>
          <w:color w:val="000000"/>
          <w:sz w:val="40"/>
          <w:szCs w:val="27"/>
        </w:rPr>
      </w:pPr>
      <w:r w:rsidRPr="00ED6A49">
        <w:rPr>
          <w:rFonts w:asciiTheme="majorHAnsi" w:eastAsia="Times New Roman" w:hAnsiTheme="majorHAnsi" w:cs="Arial"/>
          <w:i/>
          <w:iCs/>
          <w:color w:val="000000"/>
          <w:sz w:val="32"/>
          <w:szCs w:val="20"/>
        </w:rPr>
        <w:t>Field block, ring block</w:t>
      </w:r>
      <w:r w:rsidRPr="00ED6A49">
        <w:rPr>
          <w:rFonts w:asciiTheme="majorHAnsi" w:eastAsia="Times New Roman" w:hAnsiTheme="majorHAnsi" w:cs="Arial"/>
          <w:color w:val="000000"/>
          <w:sz w:val="32"/>
          <w:szCs w:val="20"/>
        </w:rPr>
        <w:t>- injection into soft tissues distant from the actual incision in a pattern that intersects the nerve supplying the surgical site</w:t>
      </w:r>
    </w:p>
    <w:p w:rsidR="00ED6A49" w:rsidRPr="00ED6A49" w:rsidRDefault="00ED6A49" w:rsidP="00ED6A49">
      <w:pPr>
        <w:numPr>
          <w:ilvl w:val="1"/>
          <w:numId w:val="1"/>
        </w:numPr>
        <w:shd w:val="clear" w:color="auto" w:fill="FFFFFF"/>
        <w:spacing w:before="100" w:beforeAutospacing="1" w:after="100" w:afterAutospacing="1" w:line="240" w:lineRule="auto"/>
        <w:rPr>
          <w:rFonts w:asciiTheme="majorHAnsi" w:eastAsia="Times New Roman" w:hAnsiTheme="majorHAnsi" w:cs="Times New Roman"/>
          <w:color w:val="000000"/>
          <w:sz w:val="40"/>
          <w:szCs w:val="27"/>
        </w:rPr>
      </w:pPr>
      <w:r w:rsidRPr="00ED6A49">
        <w:rPr>
          <w:rFonts w:asciiTheme="majorHAnsi" w:eastAsia="Times New Roman" w:hAnsiTheme="majorHAnsi" w:cs="Arial"/>
          <w:i/>
          <w:iCs/>
          <w:color w:val="000000"/>
          <w:sz w:val="32"/>
          <w:szCs w:val="20"/>
        </w:rPr>
        <w:t>Nerve conduction block</w:t>
      </w:r>
      <w:r w:rsidRPr="00ED6A49">
        <w:rPr>
          <w:rFonts w:asciiTheme="majorHAnsi" w:eastAsia="Times New Roman" w:hAnsiTheme="majorHAnsi" w:cs="Arial"/>
          <w:color w:val="000000"/>
          <w:sz w:val="32"/>
          <w:szCs w:val="20"/>
        </w:rPr>
        <w:t>- infusion of a small amount of drug or directly adjacent to the sheath of a nerve supplying the surgical site </w:t>
      </w:r>
    </w:p>
    <w:p w:rsidR="00ED6A49" w:rsidRPr="00ED6A49" w:rsidRDefault="00ED6A49" w:rsidP="00ED6A49">
      <w:pPr>
        <w:numPr>
          <w:ilvl w:val="1"/>
          <w:numId w:val="1"/>
        </w:numPr>
        <w:shd w:val="clear" w:color="auto" w:fill="FFFFFF"/>
        <w:spacing w:before="100" w:beforeAutospacing="1" w:after="100" w:afterAutospacing="1" w:line="240" w:lineRule="auto"/>
        <w:rPr>
          <w:rFonts w:asciiTheme="majorHAnsi" w:eastAsia="Times New Roman" w:hAnsiTheme="majorHAnsi" w:cs="Times New Roman"/>
          <w:color w:val="000000"/>
          <w:sz w:val="40"/>
          <w:szCs w:val="27"/>
        </w:rPr>
      </w:pPr>
      <w:r w:rsidRPr="00ED6A49">
        <w:rPr>
          <w:rFonts w:asciiTheme="majorHAnsi" w:eastAsia="Times New Roman" w:hAnsiTheme="majorHAnsi" w:cs="Arial"/>
          <w:i/>
          <w:iCs/>
          <w:color w:val="000000"/>
          <w:sz w:val="32"/>
          <w:szCs w:val="20"/>
        </w:rPr>
        <w:t>Regional or spinal anesthesia</w:t>
      </w:r>
      <w:r w:rsidRPr="00ED6A49">
        <w:rPr>
          <w:rFonts w:asciiTheme="majorHAnsi" w:eastAsia="Times New Roman" w:hAnsiTheme="majorHAnsi" w:cs="Arial"/>
          <w:color w:val="000000"/>
          <w:sz w:val="32"/>
          <w:szCs w:val="20"/>
        </w:rPr>
        <w:t xml:space="preserve">- injection into the vertebral canal, </w:t>
      </w:r>
      <w:proofErr w:type="spellStart"/>
      <w:r w:rsidRPr="00ED6A49">
        <w:rPr>
          <w:rFonts w:asciiTheme="majorHAnsi" w:eastAsia="Times New Roman" w:hAnsiTheme="majorHAnsi" w:cs="Arial"/>
          <w:color w:val="000000"/>
          <w:sz w:val="32"/>
          <w:szCs w:val="20"/>
        </w:rPr>
        <w:t>epidurally</w:t>
      </w:r>
      <w:proofErr w:type="spellEnd"/>
      <w:r w:rsidRPr="00ED6A49">
        <w:rPr>
          <w:rFonts w:asciiTheme="majorHAnsi" w:eastAsia="Times New Roman" w:hAnsiTheme="majorHAnsi" w:cs="Arial"/>
          <w:color w:val="000000"/>
          <w:sz w:val="32"/>
          <w:szCs w:val="20"/>
        </w:rPr>
        <w:t xml:space="preserve"> or into the sub-arachnoid space. To avoid systemic toxicity, care must always be taken not to inject local anesthetics into blood vessels. </w:t>
      </w:r>
    </w:p>
    <w:p w:rsidR="00ED6A49" w:rsidRPr="00ED6A49" w:rsidRDefault="00ED6A49" w:rsidP="00ED6A49">
      <w:pPr>
        <w:numPr>
          <w:ilvl w:val="1"/>
          <w:numId w:val="1"/>
        </w:numPr>
        <w:shd w:val="clear" w:color="auto" w:fill="FFFFFF"/>
        <w:spacing w:before="100" w:beforeAutospacing="1" w:after="100" w:afterAutospacing="1" w:line="240" w:lineRule="auto"/>
        <w:rPr>
          <w:rFonts w:asciiTheme="majorHAnsi" w:eastAsia="Times New Roman" w:hAnsiTheme="majorHAnsi" w:cs="Times New Roman"/>
          <w:color w:val="000000"/>
          <w:sz w:val="40"/>
          <w:szCs w:val="27"/>
        </w:rPr>
      </w:pPr>
      <w:r w:rsidRPr="00ED6A49">
        <w:rPr>
          <w:rFonts w:asciiTheme="majorHAnsi" w:eastAsia="Times New Roman" w:hAnsiTheme="majorHAnsi" w:cs="Arial"/>
          <w:color w:val="000000"/>
          <w:sz w:val="32"/>
          <w:szCs w:val="20"/>
        </w:rPr>
        <w:t>Topical local anesthetics, such as lidocaine jelly, may be useful for some surgical wounds. </w:t>
      </w:r>
    </w:p>
    <w:p w:rsidR="00ED6A49" w:rsidRPr="00ED6A49" w:rsidRDefault="00ED6A49" w:rsidP="00ED6A49">
      <w:pPr>
        <w:jc w:val="center"/>
        <w:rPr>
          <w:rFonts w:asciiTheme="majorHAnsi" w:hAnsiTheme="majorHAnsi"/>
          <w:sz w:val="36"/>
        </w:rPr>
      </w:pPr>
    </w:p>
    <w:p w:rsidR="00ED6A49" w:rsidRPr="00ED6A49" w:rsidRDefault="00ED6A49" w:rsidP="00ED6A49">
      <w:pPr>
        <w:rPr>
          <w:rFonts w:asciiTheme="majorHAnsi" w:hAnsiTheme="majorHAnsi"/>
          <w:sz w:val="32"/>
        </w:rPr>
      </w:pPr>
    </w:p>
    <w:sectPr w:rsidR="00ED6A49" w:rsidRPr="00ED6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7346B"/>
    <w:multiLevelType w:val="multilevel"/>
    <w:tmpl w:val="46C68D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A49"/>
    <w:rsid w:val="004D6B9B"/>
    <w:rsid w:val="00ED6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6A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D6A49"/>
  </w:style>
  <w:style w:type="character" w:styleId="Hyperlink">
    <w:name w:val="Hyperlink"/>
    <w:basedOn w:val="DefaultParagraphFont"/>
    <w:uiPriority w:val="99"/>
    <w:semiHidden/>
    <w:unhideWhenUsed/>
    <w:rsid w:val="00ED6A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6A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D6A49"/>
  </w:style>
  <w:style w:type="character" w:styleId="Hyperlink">
    <w:name w:val="Hyperlink"/>
    <w:basedOn w:val="DefaultParagraphFont"/>
    <w:uiPriority w:val="99"/>
    <w:semiHidden/>
    <w:unhideWhenUsed/>
    <w:rsid w:val="00ED6A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454714">
      <w:bodyDiv w:val="1"/>
      <w:marLeft w:val="0"/>
      <w:marRight w:val="0"/>
      <w:marTop w:val="0"/>
      <w:marBottom w:val="0"/>
      <w:divBdr>
        <w:top w:val="none" w:sz="0" w:space="0" w:color="auto"/>
        <w:left w:val="none" w:sz="0" w:space="0" w:color="auto"/>
        <w:bottom w:val="none" w:sz="0" w:space="0" w:color="auto"/>
        <w:right w:val="none" w:sz="0" w:space="0" w:color="auto"/>
      </w:divBdr>
    </w:div>
    <w:div w:id="157951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hc.umn.edu/rar/umnuser/formulary.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2014-10-04T16:02:00Z</dcterms:created>
  <dcterms:modified xsi:type="dcterms:W3CDTF">2014-10-04T16:03:00Z</dcterms:modified>
</cp:coreProperties>
</file>