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50"/>
                <w:szCs w:val="50"/>
                <w:lang w:eastAsia="es-MX"/>
              </w:rPr>
            </w:pPr>
            <w:bookmarkStart w:id="0" w:name="_GoBack"/>
            <w:bookmarkEnd w:id="0"/>
            <w:r w:rsidRPr="00D83C85">
              <w:rPr>
                <w:rFonts w:ascii="Trebuchet MS" w:eastAsia="Times New Roman" w:hAnsi="Trebuchet MS" w:cs="Times New Roman"/>
                <w:b/>
                <w:bCs/>
                <w:color w:val="000000"/>
                <w:sz w:val="50"/>
                <w:lang w:eastAsia="es-MX"/>
              </w:rPr>
              <w:t>Equipos de Protección Personal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5875" cy="15875"/>
                  <wp:effectExtent l="19050" t="0" r="3175" b="0"/>
                  <wp:docPr id="1" name="Imagen 1" descr="http://www.paritarios.cl/images/linea_b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aritarios.cl/images/linea_b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divId w:val="40265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Los EPP comprenden todos aquellos dispositivos, accesorios y vestimentas de diversos diseños que emplea el trabajador para protegerse contra posibles lesiones.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870"/>
        <w:gridCol w:w="3480"/>
      </w:tblGrid>
      <w:tr w:rsidR="00D83C85" w:rsidRPr="00D83C85" w:rsidTr="00D83C85">
        <w:trPr>
          <w:tblCellSpacing w:w="0" w:type="dxa"/>
          <w:jc w:val="center"/>
        </w:trPr>
        <w:tc>
          <w:tcPr>
            <w:tcW w:w="6870" w:type="dxa"/>
            <w:hideMark/>
          </w:tcPr>
          <w:p w:rsidR="00D83C85" w:rsidRPr="00D83C85" w:rsidRDefault="00D83C85" w:rsidP="00D83C85">
            <w:pPr>
              <w:spacing w:after="0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 Los equipos de protección personal (EPP) constituyen uno de los conceptos más básicos en cuanto a la seguridad en el lugar de trabajo y son necesarios cuando los peligros no han podido ser eliminados por completo o controlados por otros medios como por ejemplo: Controles de Ingeniería.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  <w:t>- La Ley 16.744 sobre Accidentes del Trabajo y Enfermedades Profesionales, en su Articulo nº 68 establece que: “las empresas deberán proporcionar a sus trabajadores, los equipos e implementos de protección necesarios, no pudiendo en caso alguno cobrarles su valor”.</w:t>
            </w:r>
          </w:p>
        </w:tc>
        <w:tc>
          <w:tcPr>
            <w:tcW w:w="348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8000"/>
                <w:sz w:val="30"/>
                <w:szCs w:val="30"/>
                <w:lang w:eastAsia="es-MX"/>
              </w:rPr>
              <w:drawing>
                <wp:inline distT="0" distB="0" distL="0" distR="0">
                  <wp:extent cx="2096770" cy="1718310"/>
                  <wp:effectExtent l="19050" t="0" r="0" b="0"/>
                  <wp:docPr id="2" name="Imagen 2" descr="http://www.paritarios.cl/images/esp_epp_ico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aritarios.cl/images/esp_epp_ico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171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Requisitos de un E.P.P.</w:t>
            </w:r>
          </w:p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Proporcionar máximo confort y su peso debe ser el mínimo compatible con la eficiencia en la protección.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No debe restringir  los movimientos del trabajador.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Debe ser durable y de ser posible el mantenimiento debe hacerse en la empresa.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Debe ser construido de acuerdo con las normas de construcción.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Debe tener una apariencia atractiva.</w:t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Clasificación de los E.P.P.</w:t>
            </w:r>
          </w:p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1.Protección a la Cabeza (cráneo).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lastRenderedPageBreak/>
              <w:t>2.Protección de Ojos y Cara.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3.Protección a los Oídos.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4.Protección de las Vías Respiratorias.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5.Protección de Manos y Brazos.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6.Protección de Pies y Piernas.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7.Cinturones de Seguridad para trabajo en Altura.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8.Ropa de Trabajo.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9.Ropa Protectora.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lastRenderedPageBreak/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35"/>
        <w:gridCol w:w="2415"/>
      </w:tblGrid>
      <w:tr w:rsidR="00D83C85" w:rsidRPr="00D83C85" w:rsidTr="00D83C85">
        <w:trPr>
          <w:tblCellSpacing w:w="0" w:type="dxa"/>
          <w:jc w:val="center"/>
        </w:trPr>
        <w:tc>
          <w:tcPr>
            <w:tcW w:w="7935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1 Protección a la Cabeza.</w:t>
            </w:r>
          </w:p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Los elementos de protección a la cabeza, básicamente se reducen a los </w:t>
            </w:r>
            <w:r w:rsidRPr="00D83C85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32"/>
                <w:lang w:eastAsia="es-MX"/>
              </w:rPr>
              <w:t>cascos de seguridad.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Los cascos de seguridad proveen protección contra casos de impactos y penetración de objetos que caen sobre la cabeza. 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Los cascos de seguridad también pueden proteger contra choques eléctricos y quemaduras. 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El casco protector no se debe caer de la cabeza durante las actividades de trabajo, para evitar esto puede usarse una correa sujetada a la quijada. 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Es necesario inspeccionarlo periódicamente para detectar rajaduras o daño que pueden reducir el grado de protección ofrecido.</w:t>
            </w:r>
          </w:p>
        </w:tc>
        <w:tc>
          <w:tcPr>
            <w:tcW w:w="2415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  <w:lang w:eastAsia="es-MX"/>
              </w:rPr>
              <w:drawing>
                <wp:inline distT="0" distB="0" distL="0" distR="0">
                  <wp:extent cx="1387475" cy="1214120"/>
                  <wp:effectExtent l="19050" t="0" r="3175" b="0"/>
                  <wp:docPr id="3" name="Imagen 3" descr="http://www.paritarios.cl/images/esp_epp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aritarios.cl/images/esp_epp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  <w:lang w:eastAsia="es-MX"/>
              </w:rPr>
              <w:drawing>
                <wp:inline distT="0" distB="0" distL="0" distR="0">
                  <wp:extent cx="1387475" cy="1229995"/>
                  <wp:effectExtent l="19050" t="0" r="3175" b="0"/>
                  <wp:docPr id="4" name="Imagen 4" descr="http://www.paritarios.cl/images/esp_epp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aritarios.cl/images/esp_epp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60"/>
        <w:gridCol w:w="7890"/>
      </w:tblGrid>
      <w:tr w:rsidR="00D83C85" w:rsidRPr="00D83C85" w:rsidTr="00D83C85">
        <w:trPr>
          <w:tblCellSpacing w:w="0" w:type="dxa"/>
          <w:jc w:val="center"/>
        </w:trPr>
        <w:tc>
          <w:tcPr>
            <w:tcW w:w="246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lastRenderedPageBreak/>
              <w:drawing>
                <wp:inline distT="0" distB="0" distL="0" distR="0">
                  <wp:extent cx="1387475" cy="1040765"/>
                  <wp:effectExtent l="19050" t="0" r="3175" b="0"/>
                  <wp:docPr id="5" name="Imagen 5" descr="http://www.paritarios.cl/images/esp_epp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aritarios.cl/images/esp_epp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387475" cy="1576705"/>
                  <wp:effectExtent l="19050" t="0" r="3175" b="0"/>
                  <wp:docPr id="6" name="Imagen 6" descr="http://www.paritarios.cl/images/esp_epp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aritarios.cl/images/esp_epp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57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387475" cy="1418590"/>
                  <wp:effectExtent l="19050" t="0" r="3175" b="0"/>
                  <wp:docPr id="7" name="Imagen 7" descr="http://www.paritarios.cl/images/esp_epp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aritarios.cl/images/esp_epp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387475" cy="1529080"/>
                  <wp:effectExtent l="19050" t="0" r="3175" b="0"/>
                  <wp:docPr id="8" name="Imagen 8" descr="http://www.paritarios.cl/images/esp_epp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aritarios.cl/images/esp_epp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52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2 Protección de Ojos y Cara.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Todos los trabajadores que ejecuten cualquier operación que pueda poner en peligro sus ojos, dispondrán de protección apropiada para estos órganos.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Los anteojos protectores para trabajadores ocupados en operaciones que requieran empleo de sustancias químicas corrosivas o similares, serán fabricados de material blando que se ajuste a la cara, resistente al ataque de dichas sustancias.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casos de desprendimiento de partículas deben usarse lentes con lunas resistentes a impactos.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casos de radiación infrarroja deben usarse pantallas protectoras provistas de filtro.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También pueden usarse caretas transparentes para proteger la cara contra impactos de partículas.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2.1 Protección para los ojos: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  son elementos diseñados para la protección de los ojos, y dentro de estos encontramos: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Contra proyección de partículas.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Contra líquidos, humos, vapores y gases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Contra radiaciones.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2.2 Protección a la cara: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 xml:space="preserve">  son elementos diseñados para la protección de los ojos y cara, dentro de estos 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lastRenderedPageBreak/>
              <w:t>tenemos: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Arial"/>
                <w:b/>
                <w:bCs/>
                <w:color w:val="000000"/>
                <w:sz w:val="32"/>
                <w:lang w:eastAsia="es-MX"/>
              </w:rPr>
              <w:t>Mascaras con lentes de protección (mascaras de soldador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), están formados de una mascara provista de lentes para filtrar los rayos ultravioletas e infrarrojos.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Arial"/>
                <w:b/>
                <w:bCs/>
                <w:color w:val="000000"/>
                <w:sz w:val="32"/>
                <w:lang w:eastAsia="es-MX"/>
              </w:rPr>
              <w:t>Protectores faciales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, permiten la protección contra partículas y otros cuerpos extraños. Pueden ser de plástico transparente, cristal templado o rejilla metálica.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75"/>
        <w:gridCol w:w="2475"/>
      </w:tblGrid>
      <w:tr w:rsidR="00D83C85" w:rsidRPr="00D83C85" w:rsidTr="00D83C85">
        <w:trPr>
          <w:tblCellSpacing w:w="0" w:type="dxa"/>
          <w:jc w:val="center"/>
        </w:trPr>
        <w:tc>
          <w:tcPr>
            <w:tcW w:w="7875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3 Protección de los Oídos.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 Cuando el nivel del ruido exceda los 85 decibeles, punto que es considerado como límite superior para la audición normal, es necesario dotar de protección auditiva al trabajador.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 Los protectores auditivos, pueden ser: tapones de caucho o orejeras ( auriculares).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32"/>
                <w:lang w:eastAsia="es-MX"/>
              </w:rPr>
              <w:t>Tapones,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son elementos que se insertan en el conducto auditivo externo y permanecen en posición sin ningún dispositivo especial de sujeción.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32"/>
                <w:lang w:eastAsia="es-MX"/>
              </w:rPr>
              <w:t>Orejeras</w:t>
            </w: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, son elementos semiesféricos de plástico, rellenos con absorbentes de ruido (material poroso), los cuales se sostienen por una banda de sujeción alrededor de la cabeza.</w:t>
            </w:r>
          </w:p>
        </w:tc>
        <w:tc>
          <w:tcPr>
            <w:tcW w:w="2475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  <w:lang w:eastAsia="es-MX"/>
              </w:rPr>
              <w:drawing>
                <wp:inline distT="0" distB="0" distL="0" distR="0">
                  <wp:extent cx="1434465" cy="1150620"/>
                  <wp:effectExtent l="19050" t="0" r="0" b="0"/>
                  <wp:docPr id="9" name="Imagen 9" descr="http://www.paritarios.cl/images/esp_epp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aritarios.cl/images/esp_epp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  <w:lang w:eastAsia="es-MX"/>
              </w:rPr>
              <w:drawing>
                <wp:inline distT="0" distB="0" distL="0" distR="0">
                  <wp:extent cx="1434465" cy="1182370"/>
                  <wp:effectExtent l="19050" t="0" r="0" b="0"/>
                  <wp:docPr id="10" name="Imagen 10" descr="http://www.paritarios.cl/images/esp_epp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aritarios.cl/images/esp_epp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18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lastRenderedPageBreak/>
              <w:t>4 Protección Respiratoria.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Ningún respirador es capaz de evitar el ingreso de todos los contaminantes del aire a la zona de respiración del usuario. Los respiradores ayudan a proteger contra determinados contaminantes presentes en el aire, reduciendo las concentraciones en la zona de respiración por debajo del TLV u otros niveles de exposición recomendados. El uso inadecuado del respirador puede ocasionar una sobre exposición a los contaminantes provocando enfermedades o muerte.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Limitaciones generales de su uso.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Estos respiradores no suministran oxigeno.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No los use cuando las concentraciones de los contaminantes sean peligrosas para la vida o la salud, o en atmósferas que contengan menos de 16% de oxígeno.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No use respiradores de presión negativa o positiva con máscara de ajuste facial si existe barbas u otras porosidades en el rostro que no permita el ajuste hermético.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920"/>
        <w:gridCol w:w="8430"/>
      </w:tblGrid>
      <w:tr w:rsidR="00D83C85" w:rsidRPr="00D83C85" w:rsidTr="00D83C85">
        <w:trPr>
          <w:tblCellSpacing w:w="0" w:type="dxa"/>
          <w:jc w:val="center"/>
        </w:trPr>
        <w:tc>
          <w:tcPr>
            <w:tcW w:w="192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040765" cy="1024890"/>
                  <wp:effectExtent l="19050" t="0" r="6985" b="0"/>
                  <wp:docPr id="11" name="Imagen 11" descr="http://www.paritarios.cl/images/esp_epp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aritarios.cl/images/esp_epp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2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040765" cy="1024890"/>
                  <wp:effectExtent l="19050" t="0" r="6985" b="0"/>
                  <wp:docPr id="12" name="Imagen 12" descr="http://www.paritarios.cl/images/esp_epp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aritarios.cl/images/esp_epp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2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Tipos de respiradores.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Respiradores de filtro mecánico: polvos y neblinas.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Respiradores de cartucho químico: vapores orgánicos y gases.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Máscaras de depósito: Cuando el ambiente esta viciado del mismo gas o vapor.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lastRenderedPageBreak/>
              <w:t>- Respiradores y máscaras con suministro de aire: para atmósferas donde hay menos de 16% de oxígeno en volumen.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5 Protección de Manos y Brazos.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Los guantes que se doten a los trabajadores, serán seleccionados de acuerdo a los riesgos a los cuales el usuario este expuesto y a la necesidad de movimiento libre de los dedos.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Los guantes deben ser de la talla apropiada y mantenerse en buenas condiciones.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No deben usarse guantes para trabajar con o cerca de maquinaria en movimiento o giratoria.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Los guantes que se encuentran rotos, rasgados o impregnados con materiales químicos no deben ser utilizados.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00"/>
        <w:gridCol w:w="2250"/>
      </w:tblGrid>
      <w:tr w:rsidR="00D83C85" w:rsidRPr="00D83C85" w:rsidTr="00D83C85">
        <w:trPr>
          <w:tblCellSpacing w:w="0" w:type="dxa"/>
          <w:jc w:val="center"/>
        </w:trPr>
        <w:tc>
          <w:tcPr>
            <w:tcW w:w="810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Tipos de guantes.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la manipulación de materiales ásperos o con bordes filosos se recomienda el uso de guantes de cuero o lona.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revisar trabajos de soldadura o fundición donde haya el riesgo de quemaduras con material incandescente se recomienda el uso de guantes y mangas resistentes al calor.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 xml:space="preserve">- Para trabajos eléctricos se deben usar guantes de 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lastRenderedPageBreak/>
              <w:t>material aislante.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manipular sustancias químicas se recomienda el uso de guantes largos de hule o de neopreno.</w:t>
            </w:r>
          </w:p>
        </w:tc>
        <w:tc>
          <w:tcPr>
            <w:tcW w:w="225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  <w:lang w:eastAsia="es-MX"/>
              </w:rPr>
              <w:lastRenderedPageBreak/>
              <w:drawing>
                <wp:inline distT="0" distB="0" distL="0" distR="0">
                  <wp:extent cx="1198245" cy="1198245"/>
                  <wp:effectExtent l="19050" t="0" r="1905" b="0"/>
                  <wp:docPr id="13" name="Imagen 13" descr="http://www.paritarios.cl/images/esp_epp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aritarios.cl/images/esp_epp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  <w:lang w:eastAsia="es-MX"/>
              </w:rPr>
              <w:drawing>
                <wp:inline distT="0" distB="0" distL="0" distR="0">
                  <wp:extent cx="1198245" cy="1087755"/>
                  <wp:effectExtent l="19050" t="0" r="1905" b="0"/>
                  <wp:docPr id="14" name="Imagen 14" descr="http://www.paritarios.cl/images/esp_epp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paritarios.cl/images/esp_epp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6 Protección de Pies y Piernas.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El calzado de seguridad debe proteger el pie de los trabajadores contra humedad y sustancias calientes, contra superficies ásperas, contra pisadas sobre objetos filosos y agudos y contra caída de objetos, así mismo debe proteger contra el riesgo eléctrico.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50"/>
        <w:gridCol w:w="7800"/>
      </w:tblGrid>
      <w:tr w:rsidR="00D83C85" w:rsidRPr="00D83C85" w:rsidTr="00D83C85">
        <w:trPr>
          <w:tblCellSpacing w:w="0" w:type="dxa"/>
          <w:jc w:val="center"/>
        </w:trPr>
        <w:tc>
          <w:tcPr>
            <w:tcW w:w="255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434465" cy="1387475"/>
                  <wp:effectExtent l="19050" t="0" r="0" b="0"/>
                  <wp:docPr id="15" name="Imagen 15" descr="http://www.paritarios.cl/images/esp_epp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aritarios.cl/images/esp_epp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38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434465" cy="1387475"/>
                  <wp:effectExtent l="19050" t="0" r="0" b="0"/>
                  <wp:docPr id="16" name="Imagen 16" descr="http://www.paritarios.cl/images/esp_epp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aritarios.cl/images/esp_epp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38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Tipos de calzado.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trabajos donde haya riesgo de caída de objetos contundentes tales como lingotes de metal, planchas, etc., debe dotarse de calzado de cuero con puntera de metal.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trabajos eléctricos el calzado debe ser de cuero sin ninguna parte metálica, la suela debe ser de un material aislante.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trabajos en medios húmedos se usarán botas de goma con suela antideslizante.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trabajos con metales fundidos o líquidos calientes el calzado se ajustará al pie y al tobillo para evitar el ingreso de dichos materiales por las ranuras.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 xml:space="preserve">- Para proteger las piernas contra la salpicadura de metales fundidos se dotará de polainas de seguridad, 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lastRenderedPageBreak/>
              <w:t>las cuales deben ser resistentes al calor.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rHeight w:val="2175"/>
          <w:tblCellSpacing w:w="0" w:type="dxa"/>
          <w:jc w:val="center"/>
        </w:trPr>
        <w:tc>
          <w:tcPr>
            <w:tcW w:w="0" w:type="auto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7 Cinturones de seguridad para trabajo en altura.</w:t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lang w:eastAsia="es-MX"/>
              </w:rPr>
              <w:t>- Son elementos de protección que se utilizan en trabajos efectuados en altura, para evitar caídas del trabajador.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 Para efectuar trabajos a más de 1.8 metros de altura del nivel del piso se debe dotar al trabajador de: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es-MX"/>
              </w:rPr>
              <w:t>- Cinturón o Arnés de Seguridad enganchados a una línea de vida.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907540" cy="1229995"/>
                  <wp:effectExtent l="19050" t="0" r="0" b="0"/>
                  <wp:docPr id="17" name="Imagen 17" descr="http://www.paritarios.cl/images/esp_epp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aritarios.cl/images/esp_epp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lang w:eastAsia="es-MX"/>
              </w:rPr>
              <w:t> </w:t>
            </w: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434465" cy="1387475"/>
                  <wp:effectExtent l="19050" t="0" r="0" b="0"/>
                  <wp:docPr id="18" name="Imagen 18" descr="http://www.paritarios.cl/images/esp_ep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paritarios.cl/images/esp_ep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38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8 Ropa de Trabajo.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Cuando se seleccione ropa de trabajo se deberán tomar en consideración los riesgos a los cuales el trabajador puede estar expuesto y se seleccionará aquellos tipos que reducen los riesgos al mínimo.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Restricciones de Uso.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La ropa de trabajo no debe ofrecer peligro de engancharse o de ser atrapado por las piezas de las máquinas en movimiento.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 xml:space="preserve">- No se debe llevar en los bolsillos objetos afilados o con puntas, ni 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lastRenderedPageBreak/>
              <w:t>materiales explosivos o inflamables.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Es obligación del personal el uso de la ropa de trabajo dotado por la empresa mientras dure la jornada de trabajo.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lastRenderedPageBreak/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30"/>
        <w:gridCol w:w="8220"/>
      </w:tblGrid>
      <w:tr w:rsidR="00D83C85" w:rsidRPr="00D83C85" w:rsidTr="00D83C85">
        <w:trPr>
          <w:trHeight w:val="3990"/>
          <w:tblCellSpacing w:w="0" w:type="dxa"/>
          <w:jc w:val="center"/>
        </w:trPr>
        <w:tc>
          <w:tcPr>
            <w:tcW w:w="213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166495" cy="946150"/>
                  <wp:effectExtent l="19050" t="0" r="0" b="0"/>
                  <wp:docPr id="19" name="Imagen 19" descr="http://www.paritarios.cl/images/esp_epp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paritarios.cl/images/esp_epp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MX"/>
              </w:rPr>
              <w:drawing>
                <wp:inline distT="0" distB="0" distL="0" distR="0">
                  <wp:extent cx="1182370" cy="1403350"/>
                  <wp:effectExtent l="19050" t="0" r="0" b="0"/>
                  <wp:docPr id="20" name="Imagen 20" descr="http://www.paritarios.cl/images/esp_ep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paritarios.cl/images/esp_ep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9 Ropa Protectora.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Es la ropa especial que debe usarse como protección contra ciertos riesgos específicos y en especial contra la manipulación de sustancias cáusticas o corrosivas y que no protegen la ropa ordinaria de trabajo.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color w:val="000000"/>
                <w:sz w:val="32"/>
                <w:lang w:eastAsia="es-MX"/>
              </w:rPr>
              <w:t>Tipo de ropa protectora.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Los vestidos protectores y capuchones para los trabajadores expuestos a sustancias corrosivas u otras sustancias dañinas serán de caucho o goma.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 Para trabajos de función se dotan de trajes o mandiles de asbesto y últimamente se usan trajes de algodón aluminizado que refracta el calor.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jc w:val="both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-Para trabajos  en equipos que emiten radiación (rayos x), se utilizan mandiles de plomo</w:t>
            </w:r>
          </w:p>
        </w:tc>
      </w:tr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D83C85" w:rsidRPr="00D83C85" w:rsidRDefault="00D83C85" w:rsidP="00D83C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</w:pPr>
            <w:r w:rsidRPr="00D83C85">
              <w:rPr>
                <w:rFonts w:ascii="Arial" w:eastAsia="Times New Roman" w:hAnsi="Arial" w:cs="Arial"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Borders>
          <w:top w:val="dotted" w:sz="12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D83C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 </w:t>
            </w:r>
          </w:p>
        </w:tc>
      </w:tr>
    </w:tbl>
    <w:p w:rsidR="00D83C85" w:rsidRPr="00D83C85" w:rsidRDefault="00D83C85" w:rsidP="00D83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D83C85" w:rsidRPr="00D83C85" w:rsidTr="00D83C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Ventajas y Limitaciones de los E.P.P.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Ventajas.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Rapidez de su implementación.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Gran disponibilidad de modelos en el mercado para diferentes usos.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Fácil visualización de sus uso.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lastRenderedPageBreak/>
              <w:t>- Costo bajo, comparado con otros sistemas de control.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Fáciles de usar.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32"/>
                <w:lang w:eastAsia="es-MX"/>
              </w:rPr>
              <w:t>Desventajas.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Crean una falsa sensación de seguridad: pueden ser sobrepasados por la energía del contaminante o por el material para el cual fueron diseñados.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Hay una falta de conocimiento técnico generalizada para su adquisición.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Necesitan un mantenimiento riguroso y periódico.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En el largo plazo, presentan un coso elevado debido a las necesidades, mantenciones y reposiciones.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Requieren un esfuerzo adicional de supervisión.</w:t>
            </w:r>
          </w:p>
          <w:p w:rsidR="00D83C85" w:rsidRPr="00D83C85" w:rsidRDefault="00D83C85" w:rsidP="00D83C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CC0000"/>
                <w:sz w:val="40"/>
                <w:szCs w:val="40"/>
                <w:lang w:eastAsia="es-MX"/>
              </w:rPr>
            </w:pPr>
            <w:r w:rsidRPr="00D83C85">
              <w:rPr>
                <w:rFonts w:ascii="Arial" w:eastAsia="Times New Roman" w:hAnsi="Arial" w:cs="Arial"/>
                <w:b/>
                <w:bCs/>
                <w:i/>
                <w:iCs/>
                <w:color w:val="CC0000"/>
                <w:sz w:val="40"/>
                <w:lang w:eastAsia="es-MX"/>
              </w:rPr>
              <w:t>Consideraciones Generales.</w:t>
            </w:r>
          </w:p>
          <w:p w:rsidR="00D83C85" w:rsidRPr="00D83C85" w:rsidRDefault="00D83C85" w:rsidP="00D83C85">
            <w:pPr>
              <w:spacing w:before="100" w:beforeAutospacing="1" w:after="100" w:afterAutospacing="1" w:line="422" w:lineRule="atLeast"/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</w:pP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t>Para que los elementos de protección personal resulten eficaces se deberá considerar lo siguiente: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lang w:eastAsia="es-MX"/>
              </w:rPr>
              <w:t> 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Entrega del protector a cada usuario.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Le responsabilidad de la empresa es proporcionar los EPP adecuados; la del trabajador es usarlos. El único EPP que sirve es aquel que ha sido seleccionado técnicamente y que el trabajador usa durante toda la exposición al riesgo.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Capacitación respecto al riesgo que se esta protegiendo.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Responsabilidad de la línea de supervisión en el uso correcto y permanente de los EPP.</w:t>
            </w:r>
            <w:r w:rsidRPr="00D83C85">
              <w:rPr>
                <w:rFonts w:ascii="Trebuchet MS" w:eastAsia="Times New Roman" w:hAnsi="Trebuchet MS" w:cs="Arial"/>
                <w:color w:val="000000"/>
                <w:sz w:val="32"/>
                <w:szCs w:val="32"/>
                <w:lang w:eastAsia="es-MX"/>
              </w:rPr>
              <w:br/>
              <w:t>- Es fundamental la participación de los supervisores en el control del buen uso y mantenimiento de los EPP. El supervisor debe dar el ejemplo utilizándolos cada vez que este expuesto al riesgo.</w:t>
            </w:r>
          </w:p>
        </w:tc>
      </w:tr>
    </w:tbl>
    <w:p w:rsidR="00745552" w:rsidRDefault="00745552"/>
    <w:sectPr w:rsidR="00745552" w:rsidSect="00CA0B2B">
      <w:headerReference w:type="even" r:id="rId28"/>
      <w:headerReference w:type="default" r:id="rId29"/>
      <w:footerReference w:type="default" r:id="rId30"/>
      <w:headerReference w:type="first" r:id="rId3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E21" w:rsidRDefault="00766E21" w:rsidP="006A404B">
      <w:pPr>
        <w:spacing w:after="0" w:line="240" w:lineRule="auto"/>
      </w:pPr>
      <w:r>
        <w:separator/>
      </w:r>
    </w:p>
  </w:endnote>
  <w:endnote w:type="continuationSeparator" w:id="1">
    <w:p w:rsidR="00766E21" w:rsidRDefault="00766E21" w:rsidP="006A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4B" w:rsidRDefault="00CA0B2B">
    <w:pPr>
      <w:pStyle w:val="Piedepgina"/>
    </w:pPr>
    <w:r>
      <w:rPr>
        <w:noProof/>
      </w:rPr>
      <w:pict>
        <v:group id="Grupo 156" o:spid="_x0000_s2053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BGzG2rwQMAAHoNAAAOAAAAAAAAAAAAAAAAAC4C&#10;AABkcnMvZTJvRG9jLnhtbFBLAQItABQABgAIAAAAIQCmPpuG3QAAAAUBAAAPAAAAAAAAAAAAAAAA&#10;ABsGAABkcnMvZG93bnJldi54bWxQSwUGAAAAAAQABADzAAAAJQcAAAAA&#10;">
          <v:rect id="Rectangle 157" o:spid="_x0000_s2056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<v:textbox>
              <w:txbxContent>
                <w:sdt>
                  <w:sdtPr>
                    <w:rPr>
                      <w:rFonts w:ascii="Goudy Old Style" w:hAnsi="Goudy Old Style"/>
                      <w:color w:val="FFFFFF" w:themeColor="background1"/>
                      <w:spacing w:val="60"/>
                      <w:sz w:val="28"/>
                      <w:szCs w:val="28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6A404B" w:rsidRDefault="006A404B" w:rsidP="006A404B">
                      <w:pPr>
                        <w:pStyle w:val="Piedepgina"/>
                        <w:rPr>
                          <w:color w:val="FFFFFF" w:themeColor="background1"/>
                          <w:spacing w:val="60"/>
                        </w:rPr>
                      </w:pPr>
                      <w:r w:rsidRPr="006A404B">
                        <w:rPr>
                          <w:rFonts w:ascii="Goudy Old Style" w:hAnsi="Goudy Old Style"/>
                          <w:color w:val="FFFFFF" w:themeColor="background1"/>
                          <w:spacing w:val="60"/>
                          <w:sz w:val="28"/>
                          <w:szCs w:val="28"/>
                        </w:rPr>
                        <w:t>ELECTROMECANICA IND.   Ing. Pedro O. Rede R.</w:t>
                      </w:r>
                    </w:p>
                  </w:sdtContent>
                </w:sdt>
                <w:p w:rsidR="006A404B" w:rsidRDefault="006A404B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158" o:spid="_x0000_s2055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<v:textbox>
              <w:txbxContent>
                <w:p w:rsidR="006A404B" w:rsidRDefault="006A404B">
                  <w:pPr>
                    <w:pStyle w:val="Piedepgin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lang w:val="es-ES"/>
                    </w:rPr>
                    <w:t xml:space="preserve">Página </w:t>
                  </w:r>
                  <w:r w:rsidR="00CA0B2B" w:rsidRPr="00CA0B2B">
                    <w:fldChar w:fldCharType="begin"/>
                  </w:r>
                  <w:r>
                    <w:instrText>PAGE   \* MERGEFORMAT</w:instrText>
                  </w:r>
                  <w:r w:rsidR="00CA0B2B" w:rsidRPr="00CA0B2B">
                    <w:fldChar w:fldCharType="separate"/>
                  </w:r>
                  <w:r w:rsidR="00D83C85" w:rsidRPr="00D83C85">
                    <w:rPr>
                      <w:noProof/>
                      <w:color w:val="FFFFFF" w:themeColor="background1"/>
                      <w:lang w:val="es-ES"/>
                    </w:rPr>
                    <w:t>10</w:t>
                  </w:r>
                  <w:r w:rsidR="00CA0B2B">
                    <w:rPr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Rectangle 159" o:spid="_x0000_s2054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<w10:wrap type="topAndBottom" anchorx="page"/>
        </v:group>
      </w:pict>
    </w:r>
  </w:p>
  <w:p w:rsidR="006A404B" w:rsidRDefault="006A40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E21" w:rsidRDefault="00766E21" w:rsidP="006A404B">
      <w:pPr>
        <w:spacing w:after="0" w:line="240" w:lineRule="auto"/>
      </w:pPr>
      <w:r>
        <w:separator/>
      </w:r>
    </w:p>
  </w:footnote>
  <w:footnote w:type="continuationSeparator" w:id="1">
    <w:p w:rsidR="00766E21" w:rsidRDefault="00766E21" w:rsidP="006A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36" w:rsidRDefault="00CA0B2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8604" o:spid="_x0000_s2051" type="#_x0000_t75" style="position:absolute;margin-left:0;margin-top:0;width:441.6pt;height:294.6pt;z-index:-251655168;mso-position-horizontal:center;mso-position-horizontal-relative:margin;mso-position-vertical:center;mso-position-vertical-relative:margin" o:allowincell="f">
          <v:imagedata r:id="rId1" o:title="gen CA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4B" w:rsidRPr="006A404B" w:rsidRDefault="00CA0B2B" w:rsidP="006A404B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alias w:val="Título"/>
        <w:id w:val="77738743"/>
        <w:placeholder>
          <w:docPart w:val="F51E4F0F7FAA4713BCD7D7D631A2FF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83C85">
          <w:rPr>
            <w:rFonts w:asciiTheme="majorHAnsi" w:eastAsiaTheme="majorEastAsia" w:hAnsiTheme="majorHAnsi" w:cstheme="majorBidi"/>
            <w:sz w:val="28"/>
            <w:szCs w:val="28"/>
          </w:rPr>
          <w:t>Mantenimiento a Plantas Eléctricas de Emergencia                   Ago-Dic 2013</w:t>
        </w:r>
      </w:sdtContent>
    </w:sdt>
  </w:p>
  <w:p w:rsidR="006A404B" w:rsidRDefault="00CA0B2B">
    <w:pPr>
      <w:pStyle w:val="Encabezado"/>
    </w:pPr>
    <w:r w:rsidRPr="00CA0B2B">
      <w:rPr>
        <w:rFonts w:asciiTheme="majorHAnsi" w:eastAsiaTheme="majorEastAsia" w:hAnsiTheme="majorHAnsi" w:cstheme="majorBidi"/>
        <w:noProof/>
        <w:sz w:val="28"/>
        <w:szCs w:val="28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8605" o:spid="_x0000_s2052" type="#_x0000_t75" style="position:absolute;margin-left:0;margin-top:0;width:441.6pt;height:442.25pt;z-index:-251654144;mso-position-horizontal:center;mso-position-horizontal-relative:margin;mso-position-vertical:center;mso-position-vertical-relative:margin" o:allowincell="f">
          <v:imagedata r:id="rId1" o:title="gen CAT" gain="19661f" blacklevel="21627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36" w:rsidRDefault="00CA0B2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8603" o:spid="_x0000_s2050" type="#_x0000_t75" style="position:absolute;margin-left:0;margin-top:0;width:441.6pt;height:294.6pt;z-index:-251656192;mso-position-horizontal:center;mso-position-horizontal-relative:margin;mso-position-vertical:center;mso-position-vertical-relative:margin" o:allowincell="f">
          <v:imagedata r:id="rId1" o:title="gen CA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404B"/>
    <w:rsid w:val="00496436"/>
    <w:rsid w:val="006A404B"/>
    <w:rsid w:val="00745552"/>
    <w:rsid w:val="00766E21"/>
    <w:rsid w:val="00A17261"/>
    <w:rsid w:val="00A81313"/>
    <w:rsid w:val="00CA0B2B"/>
    <w:rsid w:val="00D8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04B"/>
  </w:style>
  <w:style w:type="paragraph" w:styleId="Piedepgina">
    <w:name w:val="footer"/>
    <w:basedOn w:val="Normal"/>
    <w:link w:val="PiedepginaCar"/>
    <w:uiPriority w:val="99"/>
    <w:unhideWhenUsed/>
    <w:rsid w:val="006A4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04B"/>
  </w:style>
  <w:style w:type="paragraph" w:styleId="Textodeglobo">
    <w:name w:val="Balloon Text"/>
    <w:basedOn w:val="Normal"/>
    <w:link w:val="TextodegloboCar"/>
    <w:uiPriority w:val="99"/>
    <w:semiHidden/>
    <w:unhideWhenUsed/>
    <w:rsid w:val="006A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04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83C85"/>
    <w:rPr>
      <w:b/>
      <w:bCs/>
    </w:rPr>
  </w:style>
  <w:style w:type="character" w:customStyle="1" w:styleId="txttrebuchet11justificada">
    <w:name w:val="txt_trebuchet11_justificada"/>
    <w:basedOn w:val="Fuentedeprrafopredeter"/>
    <w:rsid w:val="00D83C85"/>
  </w:style>
  <w:style w:type="character" w:customStyle="1" w:styleId="apple-converted-space">
    <w:name w:val="apple-converted-space"/>
    <w:basedOn w:val="Fuentedeprrafopredeter"/>
    <w:rsid w:val="00D83C85"/>
  </w:style>
  <w:style w:type="paragraph" w:styleId="NormalWeb">
    <w:name w:val="Normal (Web)"/>
    <w:basedOn w:val="Normal"/>
    <w:uiPriority w:val="99"/>
    <w:unhideWhenUsed/>
    <w:rsid w:val="00D8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01">
    <w:name w:val="titulo01"/>
    <w:basedOn w:val="Normal"/>
    <w:rsid w:val="00D8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D83C85"/>
    <w:rPr>
      <w:i/>
      <w:iCs/>
    </w:rPr>
  </w:style>
  <w:style w:type="paragraph" w:customStyle="1" w:styleId="txttrebuchet11justificada1">
    <w:name w:val="txt_trebuchet11_justificada1"/>
    <w:basedOn w:val="Normal"/>
    <w:rsid w:val="00D8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04B"/>
  </w:style>
  <w:style w:type="paragraph" w:styleId="Piedepgina">
    <w:name w:val="footer"/>
    <w:basedOn w:val="Normal"/>
    <w:link w:val="PiedepginaCar"/>
    <w:uiPriority w:val="99"/>
    <w:unhideWhenUsed/>
    <w:rsid w:val="006A4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04B"/>
  </w:style>
  <w:style w:type="paragraph" w:styleId="Textodeglobo">
    <w:name w:val="Balloon Text"/>
    <w:basedOn w:val="Normal"/>
    <w:link w:val="TextodegloboCar"/>
    <w:uiPriority w:val="99"/>
    <w:semiHidden/>
    <w:unhideWhenUsed/>
    <w:rsid w:val="006A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tarios.cl/especial_epp.htm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1E4F0F7FAA4713BCD7D7D631A2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8C3D-EC95-4ECB-AE5C-B8DCD58FB02F}"/>
      </w:docPartPr>
      <w:docPartBody>
        <w:p w:rsidR="0067325F" w:rsidRDefault="00686E0F" w:rsidP="00686E0F">
          <w:pPr>
            <w:pStyle w:val="F51E4F0F7FAA4713BCD7D7D631A2FF0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86E0F"/>
    <w:rsid w:val="00006466"/>
    <w:rsid w:val="0067325F"/>
    <w:rsid w:val="0068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51E4F0F7FAA4713BCD7D7D631A2FF05">
    <w:name w:val="F51E4F0F7FAA4713BCD7D7D631A2FF05"/>
    <w:rsid w:val="00686E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ELECTROMECANICA IND.   Ing. Pedro O. Rede R.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1600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Mantenimiento a Plantas Eléctricas de Emergencia                   Ago-Dic 2013</dc:title>
  <dc:creator>delicias</dc:creator>
  <cp:lastModifiedBy>ULTIMATE</cp:lastModifiedBy>
  <cp:revision>2</cp:revision>
  <dcterms:created xsi:type="dcterms:W3CDTF">2014-01-20T02:18:00Z</dcterms:created>
  <dcterms:modified xsi:type="dcterms:W3CDTF">2014-01-20T02:18:00Z</dcterms:modified>
</cp:coreProperties>
</file>