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19" w:rsidRPr="005C7E19" w:rsidRDefault="005C7E19" w:rsidP="005C7E19">
      <w:pPr>
        <w:jc w:val="both"/>
      </w:pPr>
      <w:r w:rsidRPr="005C7E19">
        <w:rPr>
          <w:b/>
          <w:bCs/>
        </w:rPr>
        <w:t>Exercice Compagnie du Mobilier de Bureau</w:t>
      </w:r>
    </w:p>
    <w:p w:rsidR="005C7E19" w:rsidRPr="005C7E19" w:rsidRDefault="005C7E19" w:rsidP="005C7E19">
      <w:pPr>
        <w:jc w:val="both"/>
      </w:pPr>
      <w:r w:rsidRPr="005C7E19">
        <w:t>Un fabricant de mobilier vend une gamme de bureaux qui possèdent le même style général.</w:t>
      </w:r>
      <w:r>
        <w:t xml:space="preserve">  </w:t>
      </w:r>
      <w:r w:rsidRPr="005C7E19">
        <w:t>Les bureaux sont fabriqués à partir de feuilles de contre-plaqué vernis. Il lui faut déterminer</w:t>
      </w:r>
      <w:r>
        <w:t xml:space="preserve"> </w:t>
      </w:r>
      <w:r w:rsidRPr="005C7E19">
        <w:t>son planning d’achat pour les sept semaines qui viennent. Les bureaux sont proposés en trois</w:t>
      </w:r>
      <w:r>
        <w:t xml:space="preserve"> </w:t>
      </w:r>
      <w:r w:rsidRPr="005C7E19">
        <w:t>modèles, chaque modèle comportant de petites différences dans l’agencement des tiroirs. Les</w:t>
      </w:r>
      <w:r>
        <w:t xml:space="preserve"> </w:t>
      </w:r>
      <w:r w:rsidRPr="005C7E19">
        <w:t>prévisions hebdomadaires du marketing pour chacun des modèles sont les suivantes (en</w:t>
      </w:r>
      <w:r>
        <w:t xml:space="preserve"> unités):</w:t>
      </w:r>
    </w:p>
    <w:tbl>
      <w:tblPr>
        <w:tblStyle w:val="Grilledutableau"/>
        <w:tblW w:w="8978" w:type="dxa"/>
        <w:tblLook w:val="04A0"/>
      </w:tblPr>
      <w:tblGrid>
        <w:gridCol w:w="1192"/>
        <w:gridCol w:w="972"/>
        <w:gridCol w:w="972"/>
        <w:gridCol w:w="972"/>
        <w:gridCol w:w="974"/>
        <w:gridCol w:w="974"/>
        <w:gridCol w:w="974"/>
        <w:gridCol w:w="974"/>
        <w:gridCol w:w="974"/>
      </w:tblGrid>
      <w:tr w:rsidR="005C7E19" w:rsidRPr="005C7E19" w:rsidTr="005C7E19">
        <w:tc>
          <w:tcPr>
            <w:tcW w:w="1192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Semaines</w:t>
            </w:r>
          </w:p>
        </w:tc>
        <w:tc>
          <w:tcPr>
            <w:tcW w:w="972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1</w:t>
            </w:r>
          </w:p>
        </w:tc>
        <w:tc>
          <w:tcPr>
            <w:tcW w:w="972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2</w:t>
            </w:r>
          </w:p>
        </w:tc>
        <w:tc>
          <w:tcPr>
            <w:tcW w:w="972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3</w:t>
            </w:r>
          </w:p>
        </w:tc>
        <w:tc>
          <w:tcPr>
            <w:tcW w:w="974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4</w:t>
            </w:r>
          </w:p>
        </w:tc>
        <w:tc>
          <w:tcPr>
            <w:tcW w:w="974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5</w:t>
            </w:r>
          </w:p>
        </w:tc>
        <w:tc>
          <w:tcPr>
            <w:tcW w:w="974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6</w:t>
            </w:r>
          </w:p>
        </w:tc>
        <w:tc>
          <w:tcPr>
            <w:tcW w:w="974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7</w:t>
            </w:r>
          </w:p>
        </w:tc>
        <w:tc>
          <w:tcPr>
            <w:tcW w:w="974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8</w:t>
            </w:r>
          </w:p>
        </w:tc>
      </w:tr>
      <w:tr w:rsidR="005C7E19" w:rsidTr="005C7E19">
        <w:tc>
          <w:tcPr>
            <w:tcW w:w="1192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Modèle A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150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150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200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200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150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200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200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150</w:t>
            </w:r>
          </w:p>
        </w:tc>
      </w:tr>
      <w:tr w:rsidR="005C7E19" w:rsidTr="005C7E19">
        <w:tc>
          <w:tcPr>
            <w:tcW w:w="1192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Modèle B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60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60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60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80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80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100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80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60</w:t>
            </w:r>
          </w:p>
        </w:tc>
      </w:tr>
      <w:tr w:rsidR="005C7E19" w:rsidTr="005C7E19">
        <w:tc>
          <w:tcPr>
            <w:tcW w:w="1192" w:type="dxa"/>
          </w:tcPr>
          <w:p w:rsidR="005C7E19" w:rsidRPr="005C7E19" w:rsidRDefault="005C7E19" w:rsidP="005C7E19">
            <w:pPr>
              <w:jc w:val="both"/>
              <w:rPr>
                <w:b/>
              </w:rPr>
            </w:pPr>
            <w:r w:rsidRPr="005C7E19">
              <w:rPr>
                <w:b/>
              </w:rPr>
              <w:t>Modèle C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100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120</w:t>
            </w:r>
          </w:p>
        </w:tc>
        <w:tc>
          <w:tcPr>
            <w:tcW w:w="972" w:type="dxa"/>
          </w:tcPr>
          <w:p w:rsidR="005C7E19" w:rsidRDefault="005C7E19" w:rsidP="005C7E19">
            <w:pPr>
              <w:jc w:val="both"/>
            </w:pPr>
            <w:r>
              <w:t>100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80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80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60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60</w:t>
            </w:r>
          </w:p>
        </w:tc>
        <w:tc>
          <w:tcPr>
            <w:tcW w:w="974" w:type="dxa"/>
          </w:tcPr>
          <w:p w:rsidR="005C7E19" w:rsidRDefault="005C7E19" w:rsidP="005C7E19">
            <w:pPr>
              <w:jc w:val="both"/>
            </w:pPr>
            <w:r>
              <w:t>40</w:t>
            </w:r>
          </w:p>
        </w:tc>
      </w:tr>
    </w:tbl>
    <w:p w:rsidR="005C7E19" w:rsidRDefault="005C7E19" w:rsidP="005C7E19">
      <w:pPr>
        <w:jc w:val="both"/>
      </w:pPr>
    </w:p>
    <w:p w:rsidR="005C7E19" w:rsidRPr="005C7E19" w:rsidRDefault="005C7E19" w:rsidP="005C7E19">
      <w:pPr>
        <w:jc w:val="both"/>
      </w:pPr>
      <w:r w:rsidRPr="005C7E19">
        <w:t>Il faut une semaine pour fabriquer un lot de bureaux. Les séries de fabrication sont fixées à</w:t>
      </w:r>
      <w:r>
        <w:t xml:space="preserve"> </w:t>
      </w:r>
      <w:r w:rsidRPr="005C7E19">
        <w:t>300 pour le modèle A et à 100 pour les modèles B et C. On dispose en stock actuellement (au</w:t>
      </w:r>
      <w:r>
        <w:t xml:space="preserve"> </w:t>
      </w:r>
      <w:r w:rsidRPr="005C7E19">
        <w:t>début de la semaine 1) de 80 bureaux du modèle B et 200 du modèle C. Les productions en</w:t>
      </w:r>
      <w:r>
        <w:t xml:space="preserve"> </w:t>
      </w:r>
      <w:r w:rsidRPr="005C7E19">
        <w:t>cours vont faire entrer en stock 200 modèles A dans la semaine 1. Il n’y a aucune production</w:t>
      </w:r>
      <w:r>
        <w:t xml:space="preserve"> </w:t>
      </w:r>
      <w:r w:rsidRPr="005C7E19">
        <w:t>en cours pour les modèles B et C. Tous les autres composants des bureaux sont disponibles et</w:t>
      </w:r>
      <w:r>
        <w:t xml:space="preserve"> </w:t>
      </w:r>
      <w:r w:rsidRPr="005C7E19">
        <w:t>ne peuvent provoquer aucun retard dans la fabrication.</w:t>
      </w:r>
    </w:p>
    <w:p w:rsidR="005C7E19" w:rsidRPr="005C7E19" w:rsidRDefault="005C7E19" w:rsidP="005C7E19">
      <w:pPr>
        <w:jc w:val="both"/>
      </w:pPr>
      <w:r w:rsidRPr="005C7E19">
        <w:t>En ce qui concerne les feuilles de contre-plaqué vernis (il faut trois feuilles pour fair</w:t>
      </w:r>
      <w:r>
        <w:t>e</w:t>
      </w:r>
      <w:r w:rsidRPr="005C7E19">
        <w:t xml:space="preserve"> un</w:t>
      </w:r>
      <w:r>
        <w:t xml:space="preserve"> </w:t>
      </w:r>
      <w:r w:rsidRPr="005C7E19">
        <w:t>bureau), le stock initial est de 2400 et 600 feuilles doivent arriver en semaine 2. Le délai de</w:t>
      </w:r>
      <w:r>
        <w:t xml:space="preserve"> </w:t>
      </w:r>
      <w:r w:rsidRPr="005C7E19">
        <w:t>livraison est en moyenne de deux semaines après que la commande a été passée. On doit</w:t>
      </w:r>
      <w:r>
        <w:t xml:space="preserve"> </w:t>
      </w:r>
      <w:r w:rsidRPr="005C7E19">
        <w:t>passer des commandes d’un minimum de 1000 feuilles. De plus, on désire conserver en</w:t>
      </w:r>
      <w:r>
        <w:t xml:space="preserve"> </w:t>
      </w:r>
      <w:r w:rsidRPr="005C7E19">
        <w:t>permanence un stock de sécurité de 200 feuilles.</w:t>
      </w:r>
    </w:p>
    <w:p w:rsidR="005C7E19" w:rsidRPr="005C7E19" w:rsidRDefault="005C7E19" w:rsidP="005C7E19">
      <w:pPr>
        <w:jc w:val="both"/>
      </w:pPr>
      <w:r w:rsidRPr="005C7E19">
        <w:rPr>
          <w:b/>
          <w:bCs/>
        </w:rPr>
        <w:t>Questions</w:t>
      </w:r>
    </w:p>
    <w:p w:rsidR="005C7E19" w:rsidRPr="005C7E19" w:rsidRDefault="005C7E19" w:rsidP="005C7E19">
      <w:pPr>
        <w:jc w:val="both"/>
        <w:rPr>
          <w:b/>
        </w:rPr>
      </w:pPr>
      <w:r w:rsidRPr="005C7E19">
        <w:rPr>
          <w:b/>
          <w:bCs/>
        </w:rPr>
        <w:t>1/ Précisez les lancements en fabrication à effectuer pour les trois modèles sur les sept</w:t>
      </w:r>
      <w:r>
        <w:rPr>
          <w:b/>
          <w:bCs/>
        </w:rPr>
        <w:t xml:space="preserve"> </w:t>
      </w:r>
      <w:r w:rsidRPr="005C7E19">
        <w:rPr>
          <w:b/>
        </w:rPr>
        <w:t>prochaines semaines.</w:t>
      </w:r>
    </w:p>
    <w:p w:rsidR="005C7E19" w:rsidRPr="005C7E19" w:rsidRDefault="005C7E19" w:rsidP="005C7E19">
      <w:pPr>
        <w:jc w:val="both"/>
        <w:rPr>
          <w:b/>
        </w:rPr>
      </w:pPr>
      <w:r w:rsidRPr="005C7E19">
        <w:rPr>
          <w:b/>
          <w:bCs/>
        </w:rPr>
        <w:t xml:space="preserve">2/ Établissez le calendrier des passations de commandes de feuilles de contre-plaqué sur les </w:t>
      </w:r>
      <w:r w:rsidRPr="005C7E19">
        <w:rPr>
          <w:b/>
        </w:rPr>
        <w:t xml:space="preserve">sept prochaines semaines. </w:t>
      </w:r>
    </w:p>
    <w:p w:rsidR="005F5E4F" w:rsidRPr="005C7E19" w:rsidRDefault="005F5E4F" w:rsidP="005C7E19">
      <w:pPr>
        <w:jc w:val="both"/>
        <w:rPr>
          <w:b/>
        </w:rPr>
      </w:pPr>
    </w:p>
    <w:sectPr w:rsidR="005F5E4F" w:rsidRPr="005C7E19" w:rsidSect="005F5E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E19"/>
    <w:rsid w:val="001D4730"/>
    <w:rsid w:val="005C7E19"/>
    <w:rsid w:val="005F5E4F"/>
    <w:rsid w:val="00A4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4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7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</dc:creator>
  <cp:keywords/>
  <dc:description/>
  <cp:lastModifiedBy>EMachine</cp:lastModifiedBy>
  <cp:revision>1</cp:revision>
  <dcterms:created xsi:type="dcterms:W3CDTF">2013-10-11T18:48:00Z</dcterms:created>
  <dcterms:modified xsi:type="dcterms:W3CDTF">2013-10-11T18:52:00Z</dcterms:modified>
</cp:coreProperties>
</file>