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C8" w:rsidRDefault="007843C8" w:rsidP="007843C8">
      <w:pPr>
        <w:pStyle w:val="NoSpacing"/>
      </w:pPr>
      <w:r>
        <w:t xml:space="preserve">POST-OPERATIVE CARE </w:t>
      </w:r>
    </w:p>
    <w:p w:rsidR="007843C8" w:rsidRDefault="007843C8" w:rsidP="007843C8">
      <w:pPr>
        <w:pStyle w:val="NoSpacing"/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Stabilising the Patient </w:t>
      </w: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Hydration </w:t>
      </w:r>
    </w:p>
    <w:p w:rsidR="007843C8" w:rsidRDefault="007843C8" w:rsidP="007843C8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Maintain the patient on IV fluids until it is able to drink and eat, especially if aged, vomiting, has diarrhoea, hepatic or renal disease. </w:t>
      </w:r>
    </w:p>
    <w:p w:rsidR="007843C8" w:rsidRDefault="007843C8" w:rsidP="007843C8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Balance fluid, electrolyte and acid-base disorders.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Temperature, Pulse &amp; Respiration (TPR) </w:t>
      </w:r>
    </w:p>
    <w:p w:rsidR="007843C8" w:rsidRDefault="007843C8" w:rsidP="007843C8">
      <w:pPr>
        <w:pStyle w:val="NoSpacing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Monitor temperature, pulse and respiration every hour or more frequently until the animal is alert and the temperature is normal </w:t>
      </w:r>
    </w:p>
    <w:p w:rsidR="007843C8" w:rsidRDefault="007843C8" w:rsidP="007843C8">
      <w:pPr>
        <w:pStyle w:val="NoSpacing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Re-warm a hypothermic patient, but do not burn.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Positioning </w:t>
      </w:r>
    </w:p>
    <w:p w:rsidR="007843C8" w:rsidRDefault="007843C8" w:rsidP="007843C8">
      <w:pPr>
        <w:pStyle w:val="NoSpacing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If the patient is recumbent, alternate its position between right and left lateral and sternal </w:t>
      </w:r>
      <w:proofErr w:type="spellStart"/>
      <w:r>
        <w:rPr>
          <w:sz w:val="23"/>
          <w:szCs w:val="23"/>
        </w:rPr>
        <w:t>recumbency</w:t>
      </w:r>
      <w:proofErr w:type="spellEnd"/>
      <w:r>
        <w:rPr>
          <w:sz w:val="23"/>
          <w:szCs w:val="23"/>
        </w:rPr>
        <w:t xml:space="preserve"> until it is able to sit or stand on its own.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Ventilation, Cardiac &amp; CNS Functions </w:t>
      </w:r>
    </w:p>
    <w:p w:rsidR="007843C8" w:rsidRDefault="007843C8" w:rsidP="007843C8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Evaluate blood pressure, blood gases and oxygen saturation </w:t>
      </w:r>
    </w:p>
    <w:p w:rsidR="007843C8" w:rsidRDefault="007843C8" w:rsidP="007843C8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Supplement oxygen if the patient is hypoxemic </w:t>
      </w:r>
    </w:p>
    <w:p w:rsidR="007843C8" w:rsidRDefault="007843C8" w:rsidP="007843C8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Evaluate the patient for increased intracranial pressure if it delays recovering from anaesthesia </w:t>
      </w:r>
    </w:p>
    <w:p w:rsidR="007843C8" w:rsidRDefault="007843C8" w:rsidP="007843C8">
      <w:pPr>
        <w:pStyle w:val="NoSpacing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Provide mechanical ventilation if the patient has severe hypoxem</w:t>
      </w:r>
      <w:r>
        <w:rPr>
          <w:sz w:val="23"/>
          <w:szCs w:val="23"/>
        </w:rPr>
        <w:t xml:space="preserve">ia, </w:t>
      </w:r>
      <w:proofErr w:type="spellStart"/>
      <w:r>
        <w:rPr>
          <w:sz w:val="23"/>
          <w:szCs w:val="23"/>
        </w:rPr>
        <w:t>hypercarbia</w:t>
      </w:r>
      <w:proofErr w:type="spellEnd"/>
      <w:r>
        <w:rPr>
          <w:sz w:val="23"/>
          <w:szCs w:val="23"/>
        </w:rPr>
        <w:t xml:space="preserve"> or intracranial </w:t>
      </w:r>
      <w:r>
        <w:rPr>
          <w:sz w:val="23"/>
          <w:szCs w:val="23"/>
        </w:rPr>
        <w:t xml:space="preserve">pressure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Haemorrhage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Monitor the haematocrit post-operatively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Note that pallor, slow capillary refill time, weak pulses and a high heart rate are non-specific signs of haemorrhage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For severe haemorrhage, administer a balanced electrolyte solution rapidly up to 3 times the volume of blood lost or not exceeding 90 ml/kg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Monitor the central venous pressure to assess volume replacement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If the patient is </w:t>
      </w:r>
      <w:proofErr w:type="spellStart"/>
      <w:r>
        <w:rPr>
          <w:sz w:val="23"/>
          <w:szCs w:val="23"/>
        </w:rPr>
        <w:t>hypoproteinaemic</w:t>
      </w:r>
      <w:proofErr w:type="spellEnd"/>
      <w:r>
        <w:rPr>
          <w:sz w:val="23"/>
          <w:szCs w:val="23"/>
        </w:rPr>
        <w:t xml:space="preserve">, administer plasma or colloids e.g. hetastarch, </w:t>
      </w:r>
      <w:proofErr w:type="spellStart"/>
      <w:r>
        <w:rPr>
          <w:sz w:val="23"/>
          <w:szCs w:val="23"/>
        </w:rPr>
        <w:t>dextrans</w:t>
      </w:r>
      <w:proofErr w:type="spellEnd"/>
      <w:r>
        <w:rPr>
          <w:sz w:val="23"/>
          <w:szCs w:val="23"/>
        </w:rPr>
        <w:t xml:space="preserve">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If the patient is not </w:t>
      </w:r>
      <w:proofErr w:type="spellStart"/>
      <w:r>
        <w:rPr>
          <w:sz w:val="23"/>
          <w:szCs w:val="23"/>
        </w:rPr>
        <w:t>hypoproteinaemic</w:t>
      </w:r>
      <w:proofErr w:type="spellEnd"/>
      <w:r>
        <w:rPr>
          <w:sz w:val="23"/>
          <w:szCs w:val="23"/>
        </w:rPr>
        <w:t xml:space="preserve">, administer packed red cells </w:t>
      </w:r>
    </w:p>
    <w:p w:rsidR="007843C8" w:rsidRDefault="007843C8" w:rsidP="007843C8">
      <w:pPr>
        <w:pStyle w:val="NoSpacing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Administer whole blood to replace red cell mass, plasma proteins, platelets and clotting factors.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Pain Management </w:t>
      </w:r>
    </w:p>
    <w:p w:rsidR="007843C8" w:rsidRDefault="007843C8" w:rsidP="007843C8">
      <w:pPr>
        <w:pStyle w:val="NoSpacing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Changes in heart rate, peripheral circulation and breathing patterns may suggest pain </w:t>
      </w:r>
    </w:p>
    <w:p w:rsidR="007843C8" w:rsidRDefault="007843C8" w:rsidP="007843C8">
      <w:pPr>
        <w:pStyle w:val="NoSpacing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Administer analgesics as needed. </w:t>
      </w:r>
    </w:p>
    <w:p w:rsidR="007843C8" w:rsidRDefault="007843C8" w:rsidP="007843C8">
      <w:pPr>
        <w:pStyle w:val="NoSpacing"/>
        <w:rPr>
          <w:sz w:val="20"/>
          <w:szCs w:val="20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Nutritional Management </w:t>
      </w: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Oral Feeding </w:t>
      </w:r>
    </w:p>
    <w:p w:rsidR="007843C8" w:rsidRDefault="007843C8" w:rsidP="007843C8">
      <w:pPr>
        <w:pStyle w:val="NoSpacing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Preferred method of nutrient provision if the patient is able to eat adequate amounts </w:t>
      </w:r>
    </w:p>
    <w:p w:rsidR="007843C8" w:rsidRDefault="007843C8" w:rsidP="007843C8">
      <w:pPr>
        <w:pStyle w:val="NoSpacing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Appetite may be stimulated by administration of drugs, e.g. </w:t>
      </w:r>
      <w:proofErr w:type="spellStart"/>
      <w:r>
        <w:rPr>
          <w:sz w:val="23"/>
          <w:szCs w:val="23"/>
        </w:rPr>
        <w:t>cyproheptadine</w:t>
      </w:r>
      <w:proofErr w:type="spellEnd"/>
      <w:r>
        <w:rPr>
          <w:sz w:val="23"/>
          <w:szCs w:val="23"/>
        </w:rPr>
        <w:t xml:space="preserve">, diazepam, </w:t>
      </w:r>
      <w:proofErr w:type="spellStart"/>
      <w:r>
        <w:rPr>
          <w:sz w:val="23"/>
          <w:szCs w:val="23"/>
        </w:rPr>
        <w:t>oxazepam</w:t>
      </w:r>
      <w:proofErr w:type="spellEnd"/>
      <w:r>
        <w:rPr>
          <w:sz w:val="23"/>
          <w:szCs w:val="23"/>
        </w:rPr>
        <w:t xml:space="preserve">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>Naso-</w:t>
      </w:r>
      <w:proofErr w:type="spellStart"/>
      <w:r>
        <w:rPr>
          <w:i/>
          <w:iCs/>
          <w:sz w:val="23"/>
          <w:szCs w:val="23"/>
        </w:rPr>
        <w:t>esophageal</w:t>
      </w:r>
      <w:proofErr w:type="spellEnd"/>
      <w:r>
        <w:rPr>
          <w:i/>
          <w:iCs/>
          <w:sz w:val="23"/>
          <w:szCs w:val="23"/>
        </w:rPr>
        <w:t xml:space="preserve"> Tube </w:t>
      </w:r>
    </w:p>
    <w:p w:rsidR="007843C8" w:rsidRDefault="007843C8" w:rsidP="007843C8">
      <w:pPr>
        <w:pStyle w:val="NoSpacing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Indication – anorexic patient with protein-calorie malnutrition </w:t>
      </w:r>
    </w:p>
    <w:p w:rsidR="007843C8" w:rsidRDefault="007843C8" w:rsidP="007843C8">
      <w:pPr>
        <w:pStyle w:val="NoSpacing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Feeding tube size – 5 French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Pharyngostomy</w:t>
      </w:r>
      <w:proofErr w:type="spellEnd"/>
      <w:r>
        <w:rPr>
          <w:i/>
          <w:iCs/>
          <w:sz w:val="23"/>
          <w:szCs w:val="23"/>
        </w:rPr>
        <w:t xml:space="preserve"> tubes </w:t>
      </w:r>
    </w:p>
    <w:p w:rsidR="007843C8" w:rsidRDefault="007843C8" w:rsidP="007843C8">
      <w:pPr>
        <w:pStyle w:val="NoSpacing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Indications – anorexic patient; patient unable to ingest food </w:t>
      </w:r>
    </w:p>
    <w:p w:rsidR="007843C8" w:rsidRDefault="007843C8" w:rsidP="007843C8">
      <w:pPr>
        <w:pStyle w:val="NoSpacing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Contra-indication – patient with oesophageal disorder or surgery </w:t>
      </w:r>
    </w:p>
    <w:p w:rsidR="007843C8" w:rsidRDefault="007843C8" w:rsidP="007843C8">
      <w:pPr>
        <w:pStyle w:val="NoSpacing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Tube size – 8 French or larger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Oesophagostomy</w:t>
      </w:r>
      <w:proofErr w:type="spellEnd"/>
      <w:r>
        <w:rPr>
          <w:i/>
          <w:iCs/>
          <w:sz w:val="23"/>
          <w:szCs w:val="23"/>
        </w:rPr>
        <w:t xml:space="preserve"> Tube </w:t>
      </w:r>
    </w:p>
    <w:p w:rsidR="007843C8" w:rsidRDefault="007843C8" w:rsidP="007843C8">
      <w:pPr>
        <w:pStyle w:val="NoSpacing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Indications – anorexic patient with a disorder of the oral cavity or pharynx, but functional GIT </w:t>
      </w:r>
    </w:p>
    <w:p w:rsidR="007843C8" w:rsidRDefault="007843C8" w:rsidP="007843C8">
      <w:pPr>
        <w:pStyle w:val="NoSpacing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Tube size – 8 French or larger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Gastrostomy Tubes </w:t>
      </w:r>
    </w:p>
    <w:p w:rsidR="007843C8" w:rsidRDefault="007843C8" w:rsidP="007843C8">
      <w:pPr>
        <w:pStyle w:val="NoSpacing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Indications – anorexic patient with functional intestines </w:t>
      </w:r>
    </w:p>
    <w:p w:rsidR="007843C8" w:rsidRDefault="007843C8" w:rsidP="007843C8">
      <w:pPr>
        <w:pStyle w:val="NoSpacing"/>
        <w:numPr>
          <w:ilvl w:val="1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patient undergoing surgery of oral cavity, larynx, pharynx or oesophagus </w:t>
      </w:r>
    </w:p>
    <w:p w:rsidR="007843C8" w:rsidRDefault="007843C8" w:rsidP="007843C8">
      <w:pPr>
        <w:pStyle w:val="NoSpacing"/>
        <w:numPr>
          <w:ilvl w:val="1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administration of </w:t>
      </w:r>
      <w:proofErr w:type="spellStart"/>
      <w:r>
        <w:rPr>
          <w:sz w:val="23"/>
          <w:szCs w:val="23"/>
        </w:rPr>
        <w:t>blenderized</w:t>
      </w:r>
      <w:proofErr w:type="spellEnd"/>
      <w:r>
        <w:rPr>
          <w:sz w:val="23"/>
          <w:szCs w:val="23"/>
        </w:rPr>
        <w:t xml:space="preserve"> diets </w:t>
      </w:r>
    </w:p>
    <w:p w:rsidR="007843C8" w:rsidRDefault="007843C8" w:rsidP="007843C8">
      <w:pPr>
        <w:pStyle w:val="NoSpacing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Contra-indications – patient with primary gastric disease e.g. gastritis; gastric ulcers; gastric neoplasm </w:t>
      </w:r>
    </w:p>
    <w:p w:rsidR="007843C8" w:rsidRDefault="007843C8" w:rsidP="007843C8">
      <w:pPr>
        <w:pStyle w:val="NoSpacing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Tube size – 8 French or larger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Enterostomy</w:t>
      </w:r>
      <w:proofErr w:type="spellEnd"/>
      <w:r>
        <w:rPr>
          <w:i/>
          <w:iCs/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Jejunostomy</w:t>
      </w:r>
      <w:proofErr w:type="spellEnd"/>
      <w:r>
        <w:rPr>
          <w:i/>
          <w:iCs/>
          <w:sz w:val="23"/>
          <w:szCs w:val="23"/>
        </w:rPr>
        <w:t xml:space="preserve">) Tube </w:t>
      </w:r>
    </w:p>
    <w:p w:rsidR="007843C8" w:rsidRDefault="007843C8" w:rsidP="007843C8">
      <w:pPr>
        <w:pStyle w:val="NoSpacing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Indications – patient with gastric, intestinal or pancreatic disease </w:t>
      </w:r>
    </w:p>
    <w:p w:rsidR="007843C8" w:rsidRDefault="007843C8" w:rsidP="007843C8">
      <w:pPr>
        <w:pStyle w:val="NoSpacing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patient undergoing biliary tract surgery </w:t>
      </w:r>
    </w:p>
    <w:p w:rsidR="007843C8" w:rsidRDefault="007843C8" w:rsidP="007843C8">
      <w:pPr>
        <w:pStyle w:val="NoSpacing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patient with functional intestines caudal to the disease site </w:t>
      </w:r>
    </w:p>
    <w:p w:rsidR="007843C8" w:rsidRDefault="007843C8" w:rsidP="007843C8">
      <w:pPr>
        <w:pStyle w:val="NoSpacing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For administration of liquid diets only </w:t>
      </w:r>
    </w:p>
    <w:p w:rsidR="007843C8" w:rsidRDefault="007843C8" w:rsidP="007843C8">
      <w:pPr>
        <w:pStyle w:val="NoSpacing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Tube size – 5 French </w:t>
      </w:r>
    </w:p>
    <w:p w:rsidR="007843C8" w:rsidRDefault="007843C8" w:rsidP="007843C8">
      <w:pPr>
        <w:pStyle w:val="NoSpacing"/>
        <w:rPr>
          <w:sz w:val="23"/>
          <w:szCs w:val="23"/>
        </w:rPr>
      </w:pPr>
    </w:p>
    <w:p w:rsidR="007843C8" w:rsidRDefault="007843C8" w:rsidP="007843C8">
      <w:pPr>
        <w:pStyle w:val="NoSpacing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Total Parenteral Nutrition </w:t>
      </w:r>
    </w:p>
    <w:p w:rsidR="007843C8" w:rsidRDefault="007843C8" w:rsidP="007843C8">
      <w:pPr>
        <w:pStyle w:val="NoSpacing"/>
        <w:numPr>
          <w:ilvl w:val="0"/>
          <w:numId w:val="24"/>
        </w:numPr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Indications – patient with non-functional GIT </w:t>
      </w:r>
    </w:p>
    <w:p w:rsidR="007843C8" w:rsidRDefault="007843C8" w:rsidP="007843C8">
      <w:pPr>
        <w:pStyle w:val="NoSpacing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Administration of liquid diets </w:t>
      </w:r>
    </w:p>
    <w:p w:rsidR="007843C8" w:rsidRDefault="007843C8" w:rsidP="007843C8">
      <w:pPr>
        <w:pStyle w:val="NoSpacing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Technique – Use 16G, 18 cm catheter </w:t>
      </w:r>
    </w:p>
    <w:p w:rsidR="007843C8" w:rsidRDefault="007843C8" w:rsidP="007843C8">
      <w:pPr>
        <w:pStyle w:val="NoSpacing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Insert from the dorsum of the neck via a subcutaneous tunnel into the external jugular vein </w:t>
      </w:r>
    </w:p>
    <w:p w:rsidR="007843C8" w:rsidRDefault="007843C8" w:rsidP="007843C8">
      <w:pPr>
        <w:pStyle w:val="NoSpacing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Anchor catheter to the jugular vein, subcutaneous tissue and skin </w:t>
      </w:r>
    </w:p>
    <w:bookmarkEnd w:id="0"/>
    <w:p w:rsidR="00CC4A9B" w:rsidRDefault="00CC4A9B" w:rsidP="007843C8">
      <w:pPr>
        <w:pStyle w:val="NoSpacing"/>
      </w:pPr>
    </w:p>
    <w:sectPr w:rsidR="00CC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917"/>
    <w:multiLevelType w:val="hybridMultilevel"/>
    <w:tmpl w:val="84A0587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60BE"/>
    <w:multiLevelType w:val="hybridMultilevel"/>
    <w:tmpl w:val="EAC897A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81B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318B"/>
    <w:multiLevelType w:val="hybridMultilevel"/>
    <w:tmpl w:val="5C00D8B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1183"/>
    <w:multiLevelType w:val="hybridMultilevel"/>
    <w:tmpl w:val="21DE90F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0378"/>
    <w:multiLevelType w:val="hybridMultilevel"/>
    <w:tmpl w:val="B41ACC3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80F88"/>
    <w:multiLevelType w:val="hybridMultilevel"/>
    <w:tmpl w:val="F454DD08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A18E3"/>
    <w:multiLevelType w:val="hybridMultilevel"/>
    <w:tmpl w:val="5B1812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3451C"/>
    <w:multiLevelType w:val="hybridMultilevel"/>
    <w:tmpl w:val="17766B3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654B"/>
    <w:multiLevelType w:val="hybridMultilevel"/>
    <w:tmpl w:val="3EE6571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F1B17"/>
    <w:multiLevelType w:val="hybridMultilevel"/>
    <w:tmpl w:val="4D2058D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866B4"/>
    <w:multiLevelType w:val="hybridMultilevel"/>
    <w:tmpl w:val="5F5EF12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B3B56"/>
    <w:multiLevelType w:val="hybridMultilevel"/>
    <w:tmpl w:val="3B745E0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C01FE"/>
    <w:multiLevelType w:val="hybridMultilevel"/>
    <w:tmpl w:val="1E2CC6D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1EF5"/>
    <w:multiLevelType w:val="hybridMultilevel"/>
    <w:tmpl w:val="B4269E9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479EC"/>
    <w:multiLevelType w:val="hybridMultilevel"/>
    <w:tmpl w:val="3A8EE23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5964"/>
    <w:multiLevelType w:val="hybridMultilevel"/>
    <w:tmpl w:val="3D88E76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E7024"/>
    <w:multiLevelType w:val="hybridMultilevel"/>
    <w:tmpl w:val="360A65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43726"/>
    <w:multiLevelType w:val="hybridMultilevel"/>
    <w:tmpl w:val="B63C993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B1C21"/>
    <w:multiLevelType w:val="hybridMultilevel"/>
    <w:tmpl w:val="B74EB508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E6EC7"/>
    <w:multiLevelType w:val="hybridMultilevel"/>
    <w:tmpl w:val="8A787D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A7E03"/>
    <w:multiLevelType w:val="hybridMultilevel"/>
    <w:tmpl w:val="F8BA9B3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90796"/>
    <w:multiLevelType w:val="hybridMultilevel"/>
    <w:tmpl w:val="7438F4E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013B0"/>
    <w:multiLevelType w:val="hybridMultilevel"/>
    <w:tmpl w:val="ECC2843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0089A"/>
    <w:multiLevelType w:val="hybridMultilevel"/>
    <w:tmpl w:val="4844C3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7"/>
  </w:num>
  <w:num w:numId="6">
    <w:abstractNumId w:val="16"/>
  </w:num>
  <w:num w:numId="7">
    <w:abstractNumId w:val="10"/>
  </w:num>
  <w:num w:numId="8">
    <w:abstractNumId w:val="14"/>
  </w:num>
  <w:num w:numId="9">
    <w:abstractNumId w:val="22"/>
  </w:num>
  <w:num w:numId="10">
    <w:abstractNumId w:val="23"/>
  </w:num>
  <w:num w:numId="11">
    <w:abstractNumId w:val="6"/>
  </w:num>
  <w:num w:numId="12">
    <w:abstractNumId w:val="13"/>
  </w:num>
  <w:num w:numId="13">
    <w:abstractNumId w:val="9"/>
  </w:num>
  <w:num w:numId="14">
    <w:abstractNumId w:val="3"/>
  </w:num>
  <w:num w:numId="15">
    <w:abstractNumId w:val="20"/>
  </w:num>
  <w:num w:numId="16">
    <w:abstractNumId w:val="21"/>
  </w:num>
  <w:num w:numId="17">
    <w:abstractNumId w:val="19"/>
  </w:num>
  <w:num w:numId="18">
    <w:abstractNumId w:val="18"/>
  </w:num>
  <w:num w:numId="19">
    <w:abstractNumId w:val="4"/>
  </w:num>
  <w:num w:numId="20">
    <w:abstractNumId w:val="15"/>
  </w:num>
  <w:num w:numId="21">
    <w:abstractNumId w:val="1"/>
  </w:num>
  <w:num w:numId="22">
    <w:abstractNumId w:val="1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C8"/>
    <w:rsid w:val="007843C8"/>
    <w:rsid w:val="00C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3C8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7843C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3C8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7843C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1</cp:revision>
  <dcterms:created xsi:type="dcterms:W3CDTF">2013-10-21T03:00:00Z</dcterms:created>
  <dcterms:modified xsi:type="dcterms:W3CDTF">2013-10-21T03:02:00Z</dcterms:modified>
</cp:coreProperties>
</file>