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FF5" w:rsidRPr="000D7FF5" w:rsidRDefault="000D7FF5" w:rsidP="000D7FF5">
      <w:pPr>
        <w:spacing w:after="0" w:line="240" w:lineRule="auto"/>
        <w:ind w:right="191"/>
        <w:outlineLvl w:val="3"/>
        <w:rPr>
          <w:rFonts w:ascii="Times New Roman" w:eastAsia="Times New Roman" w:hAnsi="Times New Roman" w:cs="Times New Roman"/>
          <w:b/>
          <w:bCs/>
          <w:u w:val="single"/>
        </w:rPr>
      </w:pPr>
      <w:bookmarkStart w:id="0" w:name="3.4.1.1_principle"/>
      <w:r w:rsidRPr="000D7FF5">
        <w:rPr>
          <w:rFonts w:ascii="Times New Roman" w:eastAsia="Times New Roman" w:hAnsi="Times New Roman" w:cs="Times New Roman"/>
          <w:b/>
          <w:bCs/>
          <w:u w:val="single"/>
        </w:rPr>
        <w:t>Principle</w:t>
      </w:r>
      <w:bookmarkEnd w:id="0"/>
    </w:p>
    <w:p w:rsidR="000D7FF5" w:rsidRPr="000D7FF5" w:rsidRDefault="000D7FF5" w:rsidP="000D7F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0D7FF5">
        <w:rPr>
          <w:rFonts w:ascii="Times New Roman" w:eastAsia="Times New Roman" w:hAnsi="Times New Roman" w:cs="Times New Roman"/>
        </w:rPr>
        <w:t xml:space="preserve">The McMaster counting technique is a quantitative technique to determine the number of eggs present per gram of </w:t>
      </w:r>
      <w:proofErr w:type="spellStart"/>
      <w:r w:rsidRPr="000D7FF5">
        <w:rPr>
          <w:rFonts w:ascii="Times New Roman" w:eastAsia="Times New Roman" w:hAnsi="Times New Roman" w:cs="Times New Roman"/>
        </w:rPr>
        <w:t>faeces</w:t>
      </w:r>
      <w:proofErr w:type="spellEnd"/>
      <w:r w:rsidRPr="000D7FF5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0D7FF5">
        <w:rPr>
          <w:rFonts w:ascii="Times New Roman" w:eastAsia="Times New Roman" w:hAnsi="Times New Roman" w:cs="Times New Roman"/>
        </w:rPr>
        <w:t>e.p.g</w:t>
      </w:r>
      <w:proofErr w:type="spellEnd"/>
      <w:r w:rsidRPr="000D7FF5">
        <w:rPr>
          <w:rFonts w:ascii="Times New Roman" w:eastAsia="Times New Roman" w:hAnsi="Times New Roman" w:cs="Times New Roman"/>
        </w:rPr>
        <w:t xml:space="preserve">.). A flotation fluid is used to separate eggs from </w:t>
      </w:r>
      <w:proofErr w:type="spellStart"/>
      <w:r w:rsidRPr="000D7FF5">
        <w:rPr>
          <w:rFonts w:ascii="Times New Roman" w:eastAsia="Times New Roman" w:hAnsi="Times New Roman" w:cs="Times New Roman"/>
        </w:rPr>
        <w:t>faecal</w:t>
      </w:r>
      <w:proofErr w:type="spellEnd"/>
      <w:r w:rsidRPr="000D7FF5">
        <w:rPr>
          <w:rFonts w:ascii="Times New Roman" w:eastAsia="Times New Roman" w:hAnsi="Times New Roman" w:cs="Times New Roman"/>
        </w:rPr>
        <w:t xml:space="preserve"> material in a counting chamber (McMaster) with two compartments. The technique described below will detect 50 or more </w:t>
      </w:r>
      <w:proofErr w:type="spellStart"/>
      <w:r w:rsidRPr="000D7FF5">
        <w:rPr>
          <w:rFonts w:ascii="Times New Roman" w:eastAsia="Times New Roman" w:hAnsi="Times New Roman" w:cs="Times New Roman"/>
        </w:rPr>
        <w:t>e.p.g</w:t>
      </w:r>
      <w:proofErr w:type="spellEnd"/>
      <w:r w:rsidRPr="000D7FF5">
        <w:rPr>
          <w:rFonts w:ascii="Times New Roman" w:eastAsia="Times New Roman" w:hAnsi="Times New Roman" w:cs="Times New Roman"/>
        </w:rPr>
        <w:t xml:space="preserve">. of </w:t>
      </w:r>
      <w:proofErr w:type="spellStart"/>
      <w:r w:rsidRPr="000D7FF5">
        <w:rPr>
          <w:rFonts w:ascii="Times New Roman" w:eastAsia="Times New Roman" w:hAnsi="Times New Roman" w:cs="Times New Roman"/>
        </w:rPr>
        <w:t>faeces</w:t>
      </w:r>
      <w:proofErr w:type="spellEnd"/>
      <w:r w:rsidRPr="000D7FF5">
        <w:rPr>
          <w:rFonts w:ascii="Times New Roman" w:eastAsia="Times New Roman" w:hAnsi="Times New Roman" w:cs="Times New Roman"/>
        </w:rPr>
        <w:t>.</w:t>
      </w:r>
    </w:p>
    <w:p w:rsidR="000D7FF5" w:rsidRPr="000D7FF5" w:rsidRDefault="000D7FF5" w:rsidP="000D7FF5">
      <w:pPr>
        <w:spacing w:after="0" w:line="240" w:lineRule="auto"/>
        <w:ind w:right="191"/>
        <w:outlineLvl w:val="3"/>
        <w:rPr>
          <w:rFonts w:ascii="Times New Roman" w:eastAsia="Times New Roman" w:hAnsi="Times New Roman" w:cs="Times New Roman"/>
          <w:b/>
          <w:bCs/>
          <w:u w:val="single"/>
        </w:rPr>
      </w:pPr>
      <w:bookmarkStart w:id="1" w:name="3.4.1.2_application"/>
      <w:r w:rsidRPr="000D7FF5">
        <w:rPr>
          <w:rFonts w:ascii="Times New Roman" w:eastAsia="Times New Roman" w:hAnsi="Times New Roman" w:cs="Times New Roman"/>
          <w:b/>
          <w:bCs/>
          <w:u w:val="single"/>
        </w:rPr>
        <w:t>Application</w:t>
      </w:r>
      <w:bookmarkEnd w:id="1"/>
    </w:p>
    <w:p w:rsidR="000D7FF5" w:rsidRPr="000D7FF5" w:rsidRDefault="000D7FF5" w:rsidP="000D7F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0D7FF5">
        <w:rPr>
          <w:rFonts w:ascii="Times New Roman" w:eastAsia="Times New Roman" w:hAnsi="Times New Roman" w:cs="Times New Roman"/>
        </w:rPr>
        <w:t xml:space="preserve">This technique can be used to provide a quantitative estimate of egg output for nematodes, </w:t>
      </w:r>
      <w:proofErr w:type="spellStart"/>
      <w:r w:rsidRPr="000D7FF5">
        <w:rPr>
          <w:rFonts w:ascii="Times New Roman" w:eastAsia="Times New Roman" w:hAnsi="Times New Roman" w:cs="Times New Roman"/>
        </w:rPr>
        <w:t>cestodes</w:t>
      </w:r>
      <w:proofErr w:type="spellEnd"/>
      <w:r w:rsidRPr="000D7FF5">
        <w:rPr>
          <w:rFonts w:ascii="Times New Roman" w:eastAsia="Times New Roman" w:hAnsi="Times New Roman" w:cs="Times New Roman"/>
        </w:rPr>
        <w:t xml:space="preserve"> and </w:t>
      </w:r>
      <w:proofErr w:type="spellStart"/>
      <w:r w:rsidRPr="000D7FF5">
        <w:rPr>
          <w:rFonts w:ascii="Times New Roman" w:eastAsia="Times New Roman" w:hAnsi="Times New Roman" w:cs="Times New Roman"/>
        </w:rPr>
        <w:t>coccidia</w:t>
      </w:r>
      <w:proofErr w:type="spellEnd"/>
      <w:r w:rsidRPr="000D7FF5">
        <w:rPr>
          <w:rFonts w:ascii="Times New Roman" w:eastAsia="Times New Roman" w:hAnsi="Times New Roman" w:cs="Times New Roman"/>
        </w:rPr>
        <w:t>. Its use to quantify levels of infection is limited by the factors governing egg excretion.</w:t>
      </w:r>
    </w:p>
    <w:p w:rsidR="000D7FF5" w:rsidRPr="000D7FF5" w:rsidRDefault="000D7FF5" w:rsidP="000D7FF5">
      <w:pPr>
        <w:spacing w:after="0" w:line="240" w:lineRule="auto"/>
        <w:ind w:right="191"/>
        <w:outlineLvl w:val="3"/>
        <w:rPr>
          <w:rFonts w:ascii="Times New Roman" w:eastAsia="Times New Roman" w:hAnsi="Times New Roman" w:cs="Times New Roman"/>
          <w:b/>
          <w:bCs/>
          <w:u w:val="single"/>
        </w:rPr>
      </w:pPr>
      <w:bookmarkStart w:id="2" w:name="3.4.1.3_equipment"/>
      <w:r w:rsidRPr="000D7FF5">
        <w:rPr>
          <w:rFonts w:ascii="Times New Roman" w:eastAsia="Times New Roman" w:hAnsi="Times New Roman" w:cs="Times New Roman"/>
          <w:b/>
          <w:bCs/>
          <w:u w:val="single"/>
        </w:rPr>
        <w:t xml:space="preserve"> Equipment</w:t>
      </w:r>
      <w:bookmarkEnd w:id="2"/>
    </w:p>
    <w:p w:rsidR="000D7FF5" w:rsidRPr="000D7FF5" w:rsidRDefault="000D7FF5" w:rsidP="000D7FF5">
      <w:pPr>
        <w:spacing w:after="100" w:line="240" w:lineRule="auto"/>
        <w:rPr>
          <w:rFonts w:ascii="Times New Roman" w:eastAsia="Times New Roman" w:hAnsi="Times New Roman" w:cs="Times New Roman"/>
        </w:rPr>
      </w:pPr>
      <w:r w:rsidRPr="000D7FF5">
        <w:rPr>
          <w:rFonts w:ascii="Times New Roman" w:eastAsia="Times New Roman" w:hAnsi="Times New Roman" w:cs="Times New Roman"/>
        </w:rPr>
        <w:t>· Beakers or plastic containers</w:t>
      </w:r>
      <w:r w:rsidRPr="000D7FF5">
        <w:rPr>
          <w:rFonts w:ascii="Times New Roman" w:eastAsia="Times New Roman" w:hAnsi="Times New Roman" w:cs="Times New Roman"/>
        </w:rPr>
        <w:br/>
        <w:t>· Balance</w:t>
      </w:r>
      <w:r w:rsidRPr="000D7FF5">
        <w:rPr>
          <w:rFonts w:ascii="Times New Roman" w:eastAsia="Times New Roman" w:hAnsi="Times New Roman" w:cs="Times New Roman"/>
        </w:rPr>
        <w:br/>
        <w:t>· A tea strainer or cheesecloth</w:t>
      </w:r>
      <w:r w:rsidRPr="000D7FF5">
        <w:rPr>
          <w:rFonts w:ascii="Times New Roman" w:eastAsia="Times New Roman" w:hAnsi="Times New Roman" w:cs="Times New Roman"/>
        </w:rPr>
        <w:br/>
        <w:t>· Measuring cylinder</w:t>
      </w:r>
      <w:r w:rsidRPr="000D7FF5">
        <w:rPr>
          <w:rFonts w:ascii="Times New Roman" w:eastAsia="Times New Roman" w:hAnsi="Times New Roman" w:cs="Times New Roman"/>
        </w:rPr>
        <w:br/>
        <w:t>· Stirring device (fork, tongue depressor</w:t>
      </w:r>
      <w:proofErr w:type="gramStart"/>
      <w:r w:rsidRPr="000D7FF5">
        <w:rPr>
          <w:rFonts w:ascii="Times New Roman" w:eastAsia="Times New Roman" w:hAnsi="Times New Roman" w:cs="Times New Roman"/>
        </w:rPr>
        <w:t>)</w:t>
      </w:r>
      <w:proofErr w:type="gramEnd"/>
      <w:r w:rsidRPr="000D7FF5">
        <w:rPr>
          <w:rFonts w:ascii="Times New Roman" w:eastAsia="Times New Roman" w:hAnsi="Times New Roman" w:cs="Times New Roman"/>
        </w:rPr>
        <w:br/>
        <w:t>· Pasteur pipettes and (rubber) teats</w:t>
      </w:r>
      <w:r w:rsidRPr="000D7FF5">
        <w:rPr>
          <w:rFonts w:ascii="Times New Roman" w:eastAsia="Times New Roman" w:hAnsi="Times New Roman" w:cs="Times New Roman"/>
        </w:rPr>
        <w:br/>
        <w:t>· Flotation fluid (see the Appendix to this handbook for formulation)</w:t>
      </w:r>
      <w:r w:rsidRPr="000D7FF5">
        <w:rPr>
          <w:rFonts w:ascii="Times New Roman" w:eastAsia="Times New Roman" w:hAnsi="Times New Roman" w:cs="Times New Roman"/>
        </w:rPr>
        <w:br/>
        <w:t>· </w:t>
      </w:r>
      <w:r>
        <w:rPr>
          <w:rFonts w:ascii="Times New Roman" w:eastAsia="Times New Roman" w:hAnsi="Times New Roman" w:cs="Times New Roman"/>
        </w:rPr>
        <w:t>McMaster counting chamber</w:t>
      </w:r>
      <w:r w:rsidRPr="000D7FF5">
        <w:rPr>
          <w:rFonts w:ascii="Times New Roman" w:eastAsia="Times New Roman" w:hAnsi="Times New Roman" w:cs="Times New Roman"/>
        </w:rPr>
        <w:br/>
        <w:t>· Microscope</w:t>
      </w:r>
    </w:p>
    <w:p w:rsidR="000D7FF5" w:rsidRPr="000D7FF5" w:rsidRDefault="000D7FF5" w:rsidP="000D7FF5">
      <w:pPr>
        <w:pStyle w:val="Heading4"/>
        <w:spacing w:before="0" w:beforeAutospacing="0" w:after="0" w:afterAutospacing="0"/>
        <w:ind w:right="191"/>
        <w:rPr>
          <w:sz w:val="22"/>
          <w:szCs w:val="22"/>
          <w:u w:val="single"/>
        </w:rPr>
      </w:pPr>
      <w:bookmarkStart w:id="3" w:name="3.4.1.4_procedure"/>
      <w:r w:rsidRPr="000D7FF5">
        <w:rPr>
          <w:sz w:val="22"/>
          <w:szCs w:val="22"/>
          <w:u w:val="single"/>
        </w:rPr>
        <w:t>Procedure</w:t>
      </w:r>
      <w:bookmarkEnd w:id="3"/>
    </w:p>
    <w:p w:rsidR="000D7FF5" w:rsidRPr="000D7FF5" w:rsidRDefault="000D7FF5" w:rsidP="000D7FF5">
      <w:pPr>
        <w:pStyle w:val="NormalWeb"/>
        <w:rPr>
          <w:sz w:val="22"/>
          <w:szCs w:val="22"/>
        </w:rPr>
      </w:pPr>
      <w:hyperlink r:id="rId4" w:history="1">
        <w:r w:rsidRPr="000D7FF5">
          <w:rPr>
            <w:rStyle w:val="Hyperlink"/>
            <w:bCs/>
            <w:color w:val="auto"/>
            <w:sz w:val="22"/>
            <w:szCs w:val="22"/>
            <w:u w:val="none"/>
          </w:rPr>
          <w:t xml:space="preserve">(a) Weigh 4 g of </w:t>
        </w:r>
        <w:proofErr w:type="spellStart"/>
        <w:r w:rsidRPr="000D7FF5">
          <w:rPr>
            <w:rStyle w:val="Hyperlink"/>
            <w:bCs/>
            <w:color w:val="auto"/>
            <w:sz w:val="22"/>
            <w:szCs w:val="22"/>
            <w:u w:val="none"/>
          </w:rPr>
          <w:t>faeces</w:t>
        </w:r>
        <w:proofErr w:type="spellEnd"/>
        <w:r w:rsidRPr="000D7FF5">
          <w:rPr>
            <w:rStyle w:val="Hyperlink"/>
            <w:bCs/>
            <w:color w:val="auto"/>
            <w:sz w:val="22"/>
            <w:szCs w:val="22"/>
            <w:u w:val="none"/>
          </w:rPr>
          <w:t xml:space="preserve"> and place into Container 1.</w:t>
        </w:r>
      </w:hyperlink>
    </w:p>
    <w:p w:rsidR="000D7FF5" w:rsidRPr="000D7FF5" w:rsidRDefault="000D7FF5" w:rsidP="000D7FF5">
      <w:pPr>
        <w:pStyle w:val="NormalWeb"/>
        <w:rPr>
          <w:sz w:val="22"/>
          <w:szCs w:val="22"/>
        </w:rPr>
      </w:pPr>
      <w:hyperlink r:id="rId5" w:history="1">
        <w:r w:rsidRPr="000D7FF5">
          <w:rPr>
            <w:rStyle w:val="Hyperlink"/>
            <w:bCs/>
            <w:color w:val="auto"/>
            <w:sz w:val="22"/>
            <w:szCs w:val="22"/>
            <w:u w:val="none"/>
          </w:rPr>
          <w:t>(b) Add 56 ml of flotation fluid.</w:t>
        </w:r>
      </w:hyperlink>
    </w:p>
    <w:p w:rsidR="000D7FF5" w:rsidRPr="000D7FF5" w:rsidRDefault="000D7FF5" w:rsidP="000D7FF5">
      <w:pPr>
        <w:pStyle w:val="NormalWeb"/>
        <w:rPr>
          <w:sz w:val="22"/>
          <w:szCs w:val="22"/>
        </w:rPr>
      </w:pPr>
      <w:hyperlink r:id="rId6" w:history="1">
        <w:r w:rsidRPr="000D7FF5">
          <w:rPr>
            <w:rStyle w:val="Hyperlink"/>
            <w:bCs/>
            <w:color w:val="auto"/>
            <w:sz w:val="22"/>
            <w:szCs w:val="22"/>
            <w:u w:val="none"/>
          </w:rPr>
          <w:t>(c) Mix (stir) the contents thoroughly with a stirring device (fork, tongue blade).</w:t>
        </w:r>
      </w:hyperlink>
    </w:p>
    <w:p w:rsidR="000D7FF5" w:rsidRPr="000D7FF5" w:rsidRDefault="000D7FF5" w:rsidP="000D7FF5">
      <w:pPr>
        <w:pStyle w:val="NormalWeb"/>
        <w:rPr>
          <w:sz w:val="22"/>
          <w:szCs w:val="22"/>
        </w:rPr>
      </w:pPr>
      <w:hyperlink r:id="rId7" w:history="1">
        <w:r w:rsidRPr="000D7FF5">
          <w:rPr>
            <w:rStyle w:val="Hyperlink"/>
            <w:bCs/>
            <w:color w:val="auto"/>
            <w:sz w:val="22"/>
            <w:szCs w:val="22"/>
            <w:u w:val="none"/>
          </w:rPr>
          <w:t xml:space="preserve">(d) Filter the </w:t>
        </w:r>
        <w:proofErr w:type="spellStart"/>
        <w:r w:rsidRPr="000D7FF5">
          <w:rPr>
            <w:rStyle w:val="Hyperlink"/>
            <w:bCs/>
            <w:color w:val="auto"/>
            <w:sz w:val="22"/>
            <w:szCs w:val="22"/>
            <w:u w:val="none"/>
          </w:rPr>
          <w:t>faecal</w:t>
        </w:r>
        <w:proofErr w:type="spellEnd"/>
        <w:r w:rsidRPr="000D7FF5">
          <w:rPr>
            <w:rStyle w:val="Hyperlink"/>
            <w:bCs/>
            <w:color w:val="auto"/>
            <w:sz w:val="22"/>
            <w:szCs w:val="22"/>
            <w:u w:val="none"/>
          </w:rPr>
          <w:t xml:space="preserve"> suspension through a tea strainer or a double-layer of cheesecloth into Container 2.</w:t>
        </w:r>
      </w:hyperlink>
    </w:p>
    <w:p w:rsidR="000D7FF5" w:rsidRPr="000D7FF5" w:rsidRDefault="000D7FF5" w:rsidP="000D7FF5">
      <w:pPr>
        <w:pStyle w:val="NormalWeb"/>
        <w:rPr>
          <w:sz w:val="22"/>
          <w:szCs w:val="22"/>
        </w:rPr>
      </w:pPr>
      <w:hyperlink r:id="rId8" w:history="1">
        <w:r w:rsidRPr="000D7FF5">
          <w:rPr>
            <w:rStyle w:val="Hyperlink"/>
            <w:bCs/>
            <w:color w:val="auto"/>
            <w:sz w:val="22"/>
            <w:szCs w:val="22"/>
            <w:u w:val="none"/>
          </w:rPr>
          <w:t>(e) While stirring the filtrate in Container 2, take a sub-sample with a Pasteur pipette.</w:t>
        </w:r>
      </w:hyperlink>
    </w:p>
    <w:p w:rsidR="000D7FF5" w:rsidRPr="000D7FF5" w:rsidRDefault="000D7FF5" w:rsidP="000D7FF5">
      <w:pPr>
        <w:pStyle w:val="NormalWeb"/>
        <w:rPr>
          <w:sz w:val="22"/>
          <w:szCs w:val="22"/>
        </w:rPr>
      </w:pPr>
      <w:hyperlink r:id="rId9" w:history="1">
        <w:r w:rsidRPr="000D7FF5">
          <w:rPr>
            <w:rStyle w:val="Hyperlink"/>
            <w:bCs/>
            <w:color w:val="auto"/>
            <w:sz w:val="22"/>
            <w:szCs w:val="22"/>
            <w:u w:val="none"/>
          </w:rPr>
          <w:t>(f) Fill both sides of the McMaster counting chamber with the sub-sample.</w:t>
        </w:r>
      </w:hyperlink>
    </w:p>
    <w:p w:rsidR="000D7FF5" w:rsidRPr="000D7FF5" w:rsidRDefault="000D7FF5" w:rsidP="000D7FF5">
      <w:pPr>
        <w:pStyle w:val="NormalWeb"/>
        <w:rPr>
          <w:sz w:val="22"/>
          <w:szCs w:val="22"/>
        </w:rPr>
      </w:pPr>
      <w:hyperlink r:id="rId10" w:history="1">
        <w:r w:rsidRPr="000D7FF5">
          <w:rPr>
            <w:rStyle w:val="Hyperlink"/>
            <w:bCs/>
            <w:color w:val="auto"/>
            <w:sz w:val="22"/>
            <w:szCs w:val="22"/>
            <w:u w:val="none"/>
          </w:rPr>
          <w:t>(g) Allow the counting chamber to stand for 5 minutes (this is important)</w:t>
        </w:r>
      </w:hyperlink>
    </w:p>
    <w:p w:rsidR="000D7FF5" w:rsidRPr="000D7FF5" w:rsidRDefault="000D7FF5" w:rsidP="000D7FF5">
      <w:pPr>
        <w:pStyle w:val="NormalWeb"/>
        <w:rPr>
          <w:sz w:val="22"/>
          <w:szCs w:val="22"/>
        </w:rPr>
      </w:pPr>
      <w:hyperlink r:id="rId11" w:history="1">
        <w:r w:rsidRPr="000D7FF5">
          <w:rPr>
            <w:rStyle w:val="Hyperlink"/>
            <w:bCs/>
            <w:color w:val="auto"/>
            <w:sz w:val="22"/>
            <w:szCs w:val="22"/>
            <w:u w:val="none"/>
          </w:rPr>
          <w:t xml:space="preserve">(h) Examine the sub-sample of the filtrate under a microscope at 10 x 10 </w:t>
        </w:r>
        <w:proofErr w:type="gramStart"/>
        <w:r w:rsidRPr="000D7FF5">
          <w:rPr>
            <w:rStyle w:val="Hyperlink"/>
            <w:bCs/>
            <w:color w:val="auto"/>
            <w:sz w:val="22"/>
            <w:szCs w:val="22"/>
            <w:u w:val="none"/>
          </w:rPr>
          <w:t>magnification</w:t>
        </w:r>
        <w:proofErr w:type="gramEnd"/>
        <w:r w:rsidRPr="000D7FF5">
          <w:rPr>
            <w:rStyle w:val="Hyperlink"/>
            <w:bCs/>
            <w:color w:val="auto"/>
            <w:sz w:val="22"/>
            <w:szCs w:val="22"/>
            <w:u w:val="none"/>
          </w:rPr>
          <w:t>.</w:t>
        </w:r>
      </w:hyperlink>
    </w:p>
    <w:p w:rsidR="000D7FF5" w:rsidRPr="000D7FF5" w:rsidRDefault="000D7FF5" w:rsidP="000D7FF5">
      <w:pPr>
        <w:pStyle w:val="NormalWeb"/>
        <w:rPr>
          <w:sz w:val="22"/>
          <w:szCs w:val="22"/>
        </w:rPr>
      </w:pPr>
      <w:r w:rsidRPr="000D7FF5">
        <w:rPr>
          <w:sz w:val="22"/>
          <w:szCs w:val="22"/>
        </w:rPr>
        <w:t>(</w:t>
      </w:r>
      <w:proofErr w:type="spellStart"/>
      <w:r w:rsidRPr="000D7FF5">
        <w:rPr>
          <w:sz w:val="22"/>
          <w:szCs w:val="22"/>
        </w:rPr>
        <w:t>i</w:t>
      </w:r>
      <w:proofErr w:type="spellEnd"/>
      <w:r w:rsidRPr="000D7FF5">
        <w:rPr>
          <w:sz w:val="22"/>
          <w:szCs w:val="22"/>
        </w:rPr>
        <w:t xml:space="preserve">) Count all eggs and </w:t>
      </w:r>
      <w:proofErr w:type="spellStart"/>
      <w:r w:rsidRPr="000D7FF5">
        <w:rPr>
          <w:sz w:val="22"/>
          <w:szCs w:val="22"/>
        </w:rPr>
        <w:t>coccidia</w:t>
      </w:r>
      <w:proofErr w:type="spellEnd"/>
      <w:r w:rsidRPr="000D7FF5">
        <w:rPr>
          <w:sz w:val="22"/>
          <w:szCs w:val="22"/>
        </w:rPr>
        <w:t xml:space="preserve"> </w:t>
      </w:r>
      <w:proofErr w:type="spellStart"/>
      <w:r w:rsidRPr="000D7FF5">
        <w:rPr>
          <w:sz w:val="22"/>
          <w:szCs w:val="22"/>
        </w:rPr>
        <w:t>oocytes</w:t>
      </w:r>
      <w:proofErr w:type="spellEnd"/>
      <w:r w:rsidRPr="000D7FF5">
        <w:rPr>
          <w:sz w:val="22"/>
          <w:szCs w:val="22"/>
        </w:rPr>
        <w:t xml:space="preserve"> within the engraved area of both chambers.</w:t>
      </w:r>
    </w:p>
    <w:p w:rsidR="000D7FF5" w:rsidRPr="000D7FF5" w:rsidRDefault="000D7FF5" w:rsidP="000D7FF5">
      <w:pPr>
        <w:pStyle w:val="NormalWeb"/>
        <w:rPr>
          <w:sz w:val="22"/>
          <w:szCs w:val="22"/>
        </w:rPr>
      </w:pPr>
      <w:hyperlink r:id="rId12" w:history="1">
        <w:r w:rsidRPr="000D7FF5">
          <w:rPr>
            <w:rStyle w:val="Hyperlink"/>
            <w:bCs/>
            <w:color w:val="auto"/>
            <w:sz w:val="22"/>
            <w:szCs w:val="22"/>
            <w:u w:val="none"/>
          </w:rPr>
          <w:t xml:space="preserve">(j) The number of eggs per gram of </w:t>
        </w:r>
        <w:proofErr w:type="spellStart"/>
        <w:r w:rsidRPr="000D7FF5">
          <w:rPr>
            <w:rStyle w:val="Hyperlink"/>
            <w:bCs/>
            <w:color w:val="auto"/>
            <w:sz w:val="22"/>
            <w:szCs w:val="22"/>
            <w:u w:val="none"/>
          </w:rPr>
          <w:t>faeces</w:t>
        </w:r>
        <w:proofErr w:type="spellEnd"/>
        <w:r w:rsidRPr="000D7FF5">
          <w:rPr>
            <w:rStyle w:val="Hyperlink"/>
            <w:bCs/>
            <w:color w:val="auto"/>
            <w:sz w:val="22"/>
            <w:szCs w:val="22"/>
            <w:u w:val="none"/>
          </w:rPr>
          <w:t xml:space="preserve"> can be calculated as follows: Add the egg counts of the two chambers together.</w:t>
        </w:r>
      </w:hyperlink>
    </w:p>
    <w:p w:rsidR="000D7FF5" w:rsidRPr="000D7FF5" w:rsidRDefault="000D7FF5" w:rsidP="000D7FF5">
      <w:pPr>
        <w:pStyle w:val="NormalWeb"/>
        <w:rPr>
          <w:sz w:val="22"/>
          <w:szCs w:val="22"/>
        </w:rPr>
      </w:pPr>
      <w:r w:rsidRPr="000D7FF5">
        <w:rPr>
          <w:sz w:val="22"/>
          <w:szCs w:val="22"/>
        </w:rPr>
        <w:t xml:space="preserve">Multiply the total by 50. This gives the </w:t>
      </w:r>
      <w:proofErr w:type="spellStart"/>
      <w:r w:rsidRPr="000D7FF5">
        <w:rPr>
          <w:sz w:val="22"/>
          <w:szCs w:val="22"/>
        </w:rPr>
        <w:t>e.p.g</w:t>
      </w:r>
      <w:proofErr w:type="spellEnd"/>
      <w:r w:rsidRPr="000D7FF5">
        <w:rPr>
          <w:sz w:val="22"/>
          <w:szCs w:val="22"/>
        </w:rPr>
        <w:t xml:space="preserve">. of </w:t>
      </w:r>
      <w:proofErr w:type="spellStart"/>
      <w:r w:rsidRPr="000D7FF5">
        <w:rPr>
          <w:sz w:val="22"/>
          <w:szCs w:val="22"/>
        </w:rPr>
        <w:t>faeces</w:t>
      </w:r>
      <w:proofErr w:type="spellEnd"/>
      <w:r w:rsidRPr="000D7FF5">
        <w:rPr>
          <w:sz w:val="22"/>
          <w:szCs w:val="22"/>
        </w:rPr>
        <w:t xml:space="preserve">. (Example: 12 eggs seen in chamber 1 and 15 eggs seen in chamber 2 = (12 + 15) x 50 = 1350 </w:t>
      </w:r>
      <w:proofErr w:type="spellStart"/>
      <w:r w:rsidRPr="000D7FF5">
        <w:rPr>
          <w:sz w:val="22"/>
          <w:szCs w:val="22"/>
        </w:rPr>
        <w:t>e.p.g</w:t>
      </w:r>
      <w:proofErr w:type="spellEnd"/>
      <w:r w:rsidRPr="000D7FF5">
        <w:rPr>
          <w:sz w:val="22"/>
          <w:szCs w:val="22"/>
        </w:rPr>
        <w:t>.)</w:t>
      </w:r>
    </w:p>
    <w:p w:rsidR="000D7FF5" w:rsidRPr="000D7FF5" w:rsidRDefault="000D7FF5" w:rsidP="000D7FF5">
      <w:pPr>
        <w:pStyle w:val="NormalWeb"/>
        <w:rPr>
          <w:sz w:val="22"/>
          <w:szCs w:val="22"/>
        </w:rPr>
      </w:pPr>
      <w:r w:rsidRPr="000D7FF5">
        <w:rPr>
          <w:sz w:val="22"/>
          <w:szCs w:val="22"/>
        </w:rPr>
        <w:lastRenderedPageBreak/>
        <w:t>(k) In the event that the McMaster is negative (no eggs seen), the filtrate in Container 2 can be used for the simple flotation method (section 3.2.2), steps f, g and h.</w:t>
      </w:r>
    </w:p>
    <w:p w:rsidR="00BF3B5C" w:rsidRPr="000D7FF5" w:rsidRDefault="00BF3B5C">
      <w:pPr>
        <w:rPr>
          <w:rFonts w:ascii="Times New Roman" w:hAnsi="Times New Roman" w:cs="Times New Roman"/>
        </w:rPr>
      </w:pPr>
    </w:p>
    <w:sectPr w:rsidR="00BF3B5C" w:rsidRPr="000D7FF5" w:rsidSect="00BF3B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0D7FF5"/>
    <w:rsid w:val="000D7FF5"/>
    <w:rsid w:val="00BF3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B5C"/>
  </w:style>
  <w:style w:type="paragraph" w:styleId="Heading4">
    <w:name w:val="heading 4"/>
    <w:basedOn w:val="Normal"/>
    <w:link w:val="Heading4Char"/>
    <w:uiPriority w:val="9"/>
    <w:qFormat/>
    <w:rsid w:val="000D7F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D7FF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D7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D7FF5"/>
  </w:style>
  <w:style w:type="character" w:styleId="Hyperlink">
    <w:name w:val="Hyperlink"/>
    <w:basedOn w:val="DefaultParagraphFont"/>
    <w:uiPriority w:val="99"/>
    <w:semiHidden/>
    <w:unhideWhenUsed/>
    <w:rsid w:val="000D7F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1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17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9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o.org/wairdocs/ilri/x5492e/x5492e14.jp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ao.org/wairdocs/ilri/x5492e/x5492e13.jpg" TargetMode="External"/><Relationship Id="rId12" Type="http://schemas.openxmlformats.org/officeDocument/2006/relationships/hyperlink" Target="http://www.fao.org/wairdocs/ilri/x5492e/x5492e18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o.org/wairdocs/ilri/x5492e/x5492e12.jpg" TargetMode="External"/><Relationship Id="rId11" Type="http://schemas.openxmlformats.org/officeDocument/2006/relationships/hyperlink" Target="http://www.fao.org/wairdocs/ilri/x5492e/x5492e17.jpg" TargetMode="External"/><Relationship Id="rId5" Type="http://schemas.openxmlformats.org/officeDocument/2006/relationships/hyperlink" Target="http://www.fao.org/wairdocs/ilri/x5492e/x5492e11.jpg" TargetMode="External"/><Relationship Id="rId10" Type="http://schemas.openxmlformats.org/officeDocument/2006/relationships/hyperlink" Target="http://www.fao.org/wairdocs/ilri/x5492e/x5492e16.jpg" TargetMode="External"/><Relationship Id="rId4" Type="http://schemas.openxmlformats.org/officeDocument/2006/relationships/hyperlink" Target="http://www.fao.org/wairdocs/ilri/x5492e/x5492e10.jpg" TargetMode="External"/><Relationship Id="rId9" Type="http://schemas.openxmlformats.org/officeDocument/2006/relationships/hyperlink" Target="http://www.fao.org/wairdocs/ilri/x5492e/x5492e15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</dc:creator>
  <cp:lastModifiedBy>Hannah</cp:lastModifiedBy>
  <cp:revision>1</cp:revision>
  <dcterms:created xsi:type="dcterms:W3CDTF">2013-09-28T14:14:00Z</dcterms:created>
  <dcterms:modified xsi:type="dcterms:W3CDTF">2013-09-28T14:18:00Z</dcterms:modified>
</cp:coreProperties>
</file>