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829" w:type="dxa"/>
        <w:tblInd w:w="-1168" w:type="dxa"/>
        <w:tblLook w:val="04A0" w:firstRow="1" w:lastRow="0" w:firstColumn="1" w:lastColumn="0" w:noHBand="0" w:noVBand="1"/>
      </w:tblPr>
      <w:tblGrid>
        <w:gridCol w:w="1947"/>
        <w:gridCol w:w="2873"/>
        <w:gridCol w:w="2126"/>
        <w:gridCol w:w="2048"/>
        <w:gridCol w:w="2637"/>
        <w:gridCol w:w="1590"/>
        <w:gridCol w:w="2608"/>
      </w:tblGrid>
      <w:tr w:rsidR="00B27226" w:rsidRPr="002278F5" w:rsidTr="00FC59D5">
        <w:trPr>
          <w:trHeight w:val="292"/>
        </w:trPr>
        <w:tc>
          <w:tcPr>
            <w:tcW w:w="1947" w:type="dxa"/>
          </w:tcPr>
          <w:p w:rsidR="00B27226" w:rsidRPr="002278F5" w:rsidRDefault="00B27226" w:rsidP="00FC59D5">
            <w:pPr>
              <w:pStyle w:val="NoSpacing"/>
              <w:rPr>
                <w:b/>
              </w:rPr>
            </w:pPr>
            <w:r w:rsidRPr="002278F5">
              <w:rPr>
                <w:b/>
              </w:rPr>
              <w:t>Name Of Drug</w:t>
            </w:r>
          </w:p>
        </w:tc>
        <w:tc>
          <w:tcPr>
            <w:tcW w:w="2873" w:type="dxa"/>
          </w:tcPr>
          <w:p w:rsidR="00B27226" w:rsidRPr="002278F5" w:rsidRDefault="00B27226" w:rsidP="00FC59D5">
            <w:pPr>
              <w:pStyle w:val="NoSpacing"/>
              <w:rPr>
                <w:b/>
              </w:rPr>
            </w:pPr>
            <w:r w:rsidRPr="002278F5">
              <w:rPr>
                <w:b/>
              </w:rPr>
              <w:t>Mechanism of Action</w:t>
            </w:r>
          </w:p>
        </w:tc>
        <w:tc>
          <w:tcPr>
            <w:tcW w:w="2126" w:type="dxa"/>
          </w:tcPr>
          <w:p w:rsidR="00B27226" w:rsidRPr="002278F5" w:rsidRDefault="00B27226" w:rsidP="00FC59D5">
            <w:pPr>
              <w:pStyle w:val="NoSpacing"/>
              <w:rPr>
                <w:b/>
              </w:rPr>
            </w:pPr>
            <w:r w:rsidRPr="002278F5">
              <w:rPr>
                <w:b/>
              </w:rPr>
              <w:t xml:space="preserve">Parasite it affects </w:t>
            </w:r>
          </w:p>
        </w:tc>
        <w:tc>
          <w:tcPr>
            <w:tcW w:w="2048" w:type="dxa"/>
          </w:tcPr>
          <w:p w:rsidR="00B27226" w:rsidRPr="002278F5" w:rsidRDefault="00B27226" w:rsidP="00FC59D5">
            <w:pPr>
              <w:pStyle w:val="NoSpacing"/>
              <w:rPr>
                <w:b/>
              </w:rPr>
            </w:pPr>
            <w:r w:rsidRPr="002278F5">
              <w:rPr>
                <w:b/>
              </w:rPr>
              <w:t xml:space="preserve">Dose </w:t>
            </w:r>
          </w:p>
        </w:tc>
        <w:tc>
          <w:tcPr>
            <w:tcW w:w="2637" w:type="dxa"/>
          </w:tcPr>
          <w:p w:rsidR="00B27226" w:rsidRPr="00B33473" w:rsidRDefault="00B27226" w:rsidP="00FC59D5">
            <w:pPr>
              <w:pStyle w:val="NoSpacing"/>
              <w:rPr>
                <w:b/>
              </w:rPr>
            </w:pPr>
            <w:r w:rsidRPr="00B33473">
              <w:rPr>
                <w:b/>
              </w:rPr>
              <w:t>Contraindications and Side effects</w:t>
            </w:r>
          </w:p>
        </w:tc>
        <w:tc>
          <w:tcPr>
            <w:tcW w:w="1590" w:type="dxa"/>
          </w:tcPr>
          <w:p w:rsidR="00B27226" w:rsidRPr="00B33473" w:rsidRDefault="00B27226" w:rsidP="00FC59D5">
            <w:pPr>
              <w:pStyle w:val="NoSpacing"/>
              <w:rPr>
                <w:b/>
              </w:rPr>
            </w:pPr>
            <w:r w:rsidRPr="00B33473">
              <w:rPr>
                <w:b/>
              </w:rPr>
              <w:t>Route of Administration</w:t>
            </w:r>
          </w:p>
        </w:tc>
        <w:tc>
          <w:tcPr>
            <w:tcW w:w="2608" w:type="dxa"/>
          </w:tcPr>
          <w:p w:rsidR="00B27226" w:rsidRPr="002278F5" w:rsidRDefault="00B27226" w:rsidP="00B27226">
            <w:pPr>
              <w:pStyle w:val="NoSpacing"/>
              <w:rPr>
                <w:b/>
              </w:rPr>
            </w:pPr>
            <w:r w:rsidRPr="002278F5">
              <w:rPr>
                <w:b/>
              </w:rPr>
              <w:t>Other Information</w:t>
            </w:r>
          </w:p>
        </w:tc>
      </w:tr>
      <w:tr w:rsidR="00B27226" w:rsidRPr="00B27226" w:rsidTr="00FC59D5">
        <w:trPr>
          <w:trHeight w:val="292"/>
        </w:trPr>
        <w:tc>
          <w:tcPr>
            <w:tcW w:w="1947" w:type="dxa"/>
          </w:tcPr>
          <w:p w:rsidR="00B27226" w:rsidRPr="00B27226" w:rsidRDefault="00B27226" w:rsidP="00B27226">
            <w:pPr>
              <w:pStyle w:val="NoSpacing"/>
            </w:pPr>
            <w:r w:rsidRPr="00B27226">
              <w:t>Diamidine derivatives (imidocarb (Imizol®), amicarbalide (Diampron®), diminazene diaceturate (Berenil®, Ganaseg®), pentamidine isethionate (Lomidine®, Pentam 300®), and phenamidine)</w:t>
            </w:r>
          </w:p>
        </w:tc>
        <w:tc>
          <w:tcPr>
            <w:tcW w:w="2873" w:type="dxa"/>
          </w:tcPr>
          <w:p w:rsidR="002E671B" w:rsidRPr="002E671B" w:rsidRDefault="002E671B" w:rsidP="002E671B">
            <w:pPr>
              <w:pStyle w:val="NoSpacing"/>
            </w:pPr>
            <w:r w:rsidRPr="002E671B">
              <w:t>Imidocarb is thought to act by combining with nucleic acids of DNA in susceptible</w:t>
            </w:r>
            <w:r>
              <w:t xml:space="preserve"> </w:t>
            </w:r>
            <w:r w:rsidRPr="002E671B">
              <w:t>organisms, causing the DNA to unwind and denature. This damage to DNA is believed to</w:t>
            </w:r>
          </w:p>
          <w:p w:rsidR="00B27226" w:rsidRPr="002E671B" w:rsidRDefault="002E671B" w:rsidP="002E671B">
            <w:pPr>
              <w:pStyle w:val="NoSpacing"/>
            </w:pPr>
            <w:proofErr w:type="gramStart"/>
            <w:r w:rsidRPr="002E671B">
              <w:t>inhibit</w:t>
            </w:r>
            <w:proofErr w:type="gramEnd"/>
            <w:r w:rsidRPr="002E671B">
              <w:t xml:space="preserve"> cellular repair and replication.</w:t>
            </w:r>
          </w:p>
        </w:tc>
        <w:tc>
          <w:tcPr>
            <w:tcW w:w="2126" w:type="dxa"/>
          </w:tcPr>
          <w:p w:rsidR="00B27226" w:rsidRPr="00B27226" w:rsidRDefault="00B27226" w:rsidP="00B27226">
            <w:pPr>
              <w:pStyle w:val="NoSpacing"/>
            </w:pPr>
            <w:r>
              <w:t>Babesiosis</w:t>
            </w:r>
          </w:p>
        </w:tc>
        <w:tc>
          <w:tcPr>
            <w:tcW w:w="2048" w:type="dxa"/>
          </w:tcPr>
          <w:p w:rsidR="00B27226" w:rsidRDefault="00425384" w:rsidP="00B27226">
            <w:pPr>
              <w:pStyle w:val="NoSpacing"/>
            </w:pPr>
            <w:r>
              <w:t>Dogs:</w:t>
            </w:r>
          </w:p>
          <w:p w:rsidR="00425384" w:rsidRDefault="00425384" w:rsidP="00B27226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For treatment of babesiosis: 6.6 mg/kg IM or SubQ; repeat dose in 2 weeks</w:t>
            </w:r>
          </w:p>
          <w:p w:rsidR="00425384" w:rsidRDefault="00425384" w:rsidP="00B27226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</w:p>
          <w:p w:rsidR="00425384" w:rsidRDefault="00425384" w:rsidP="00B27226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Sheep:</w:t>
            </w:r>
          </w:p>
          <w:p w:rsidR="00425384" w:rsidRPr="00B27226" w:rsidRDefault="00425384" w:rsidP="00B27226">
            <w:pPr>
              <w:pStyle w:val="NoSpacing"/>
            </w:pPr>
            <w:r>
              <w:rPr>
                <w:rFonts w:ascii="MSTT31c288" w:hAnsi="MSTT31c288" w:cs="MSTT31c288"/>
                <w:sz w:val="19"/>
                <w:szCs w:val="19"/>
              </w:rPr>
              <w:t>For treatment of babesiosis: 1.2 mg/kg IM; repeat in 10-14 days</w:t>
            </w:r>
          </w:p>
        </w:tc>
        <w:tc>
          <w:tcPr>
            <w:tcW w:w="2637" w:type="dxa"/>
          </w:tcPr>
          <w:p w:rsidR="00B27226" w:rsidRDefault="00425384" w:rsidP="00425384">
            <w:pPr>
              <w:pStyle w:val="NoSpacing"/>
            </w:pPr>
            <w:r w:rsidRPr="00425384">
              <w:t>Do not use imidocarb in patients exposed</w:t>
            </w:r>
            <w:r>
              <w:t xml:space="preserve"> </w:t>
            </w:r>
            <w:r w:rsidRPr="00425384">
              <w:t>to cholinesterase-inhibiting drugs, pesticides or chemicals.</w:t>
            </w:r>
          </w:p>
          <w:p w:rsidR="00425384" w:rsidRDefault="00425384" w:rsidP="00425384">
            <w:pPr>
              <w:pStyle w:val="NoSpacing"/>
            </w:pPr>
          </w:p>
          <w:p w:rsidR="00425384" w:rsidRPr="00425384" w:rsidRDefault="00425384" w:rsidP="00425384">
            <w:pPr>
              <w:pStyle w:val="NoSpacing"/>
            </w:pPr>
            <w:r w:rsidRPr="00425384">
              <w:t>Dogs receiving a dosage of 9.9 mg/kg (1.5X labelled dose) showed signs of liver</w:t>
            </w:r>
            <w:r>
              <w:t xml:space="preserve"> </w:t>
            </w:r>
            <w:r w:rsidRPr="00425384">
              <w:t>injury (slightly increased liver enzymes), pain and swelling at the injection site, and vomiting.</w:t>
            </w:r>
          </w:p>
          <w:p w:rsidR="00425384" w:rsidRPr="00425384" w:rsidRDefault="00425384" w:rsidP="00425384">
            <w:pPr>
              <w:pStyle w:val="NoSpacing"/>
            </w:pPr>
            <w:r w:rsidRPr="00425384">
              <w:t>Overdoses or chronic toxicity may present with cholinergic signs</w:t>
            </w:r>
            <w:r>
              <w:t xml:space="preserve"> (vomiting, weakness, lethargy, </w:t>
            </w:r>
            <w:r w:rsidRPr="00425384">
              <w:t>salivation) or adverse changes in liver, kidney, lung or intestinal fu</w:t>
            </w:r>
            <w:r>
              <w:t xml:space="preserve">nction. Treatment with atropine </w:t>
            </w:r>
            <w:r w:rsidRPr="00425384">
              <w:t>may be useful to treat cholinergic signs associated with imidocarb.</w:t>
            </w:r>
          </w:p>
        </w:tc>
        <w:tc>
          <w:tcPr>
            <w:tcW w:w="1590" w:type="dxa"/>
          </w:tcPr>
          <w:p w:rsidR="00B27226" w:rsidRDefault="00425384" w:rsidP="00B27226">
            <w:pPr>
              <w:pStyle w:val="NoSpacing"/>
            </w:pPr>
            <w:r>
              <w:t xml:space="preserve">Subcutaneous </w:t>
            </w:r>
          </w:p>
          <w:p w:rsidR="00425384" w:rsidRPr="00B27226" w:rsidRDefault="00425384" w:rsidP="00B27226">
            <w:pPr>
              <w:pStyle w:val="NoSpacing"/>
            </w:pPr>
            <w:r>
              <w:t>Intramuscular</w:t>
            </w:r>
          </w:p>
        </w:tc>
        <w:tc>
          <w:tcPr>
            <w:tcW w:w="2608" w:type="dxa"/>
          </w:tcPr>
          <w:p w:rsidR="00B27226" w:rsidRPr="002E671B" w:rsidRDefault="002E671B" w:rsidP="002E671B">
            <w:pPr>
              <w:pStyle w:val="NoSpacing"/>
            </w:pPr>
            <w:r w:rsidRPr="002E671B">
              <w:t>Imidocarb dipropinate is</w:t>
            </w:r>
            <w:r>
              <w:t xml:space="preserve"> a diamidine of the carbanalide </w:t>
            </w:r>
            <w:bookmarkStart w:id="0" w:name="_GoBack"/>
            <w:bookmarkEnd w:id="0"/>
            <w:r w:rsidRPr="002E671B">
              <w:t>series of antiprotozoal compounds.</w:t>
            </w:r>
          </w:p>
        </w:tc>
      </w:tr>
    </w:tbl>
    <w:p w:rsidR="00CC4A9B" w:rsidRDefault="00CC4A9B"/>
    <w:sectPr w:rsidR="00CC4A9B" w:rsidSect="00B2722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TT31c28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23A"/>
    <w:rsid w:val="002E671B"/>
    <w:rsid w:val="00425384"/>
    <w:rsid w:val="009967C2"/>
    <w:rsid w:val="00B27226"/>
    <w:rsid w:val="00CC4A9B"/>
    <w:rsid w:val="00E6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22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27226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22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2722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</dc:creator>
  <cp:keywords/>
  <dc:description/>
  <cp:lastModifiedBy>Kin</cp:lastModifiedBy>
  <cp:revision>5</cp:revision>
  <dcterms:created xsi:type="dcterms:W3CDTF">2013-10-02T16:40:00Z</dcterms:created>
  <dcterms:modified xsi:type="dcterms:W3CDTF">2013-10-03T12:42:00Z</dcterms:modified>
</cp:coreProperties>
</file>