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48" w:rsidRPr="00575D48" w:rsidRDefault="00575D48" w:rsidP="00575D48">
      <w:pPr>
        <w:rPr>
          <w:rFonts w:asciiTheme="majorHAnsi" w:hAnsiTheme="majorHAnsi"/>
          <w:sz w:val="24"/>
          <w:szCs w:val="24"/>
          <w:lang w:val="en-US"/>
        </w:rPr>
      </w:pPr>
      <w:r w:rsidRPr="00575D48">
        <w:rPr>
          <w:rFonts w:asciiTheme="majorHAnsi" w:hAnsiTheme="majorHAnsi"/>
          <w:sz w:val="24"/>
          <w:szCs w:val="24"/>
          <w:lang w:val="en-US"/>
        </w:rPr>
        <w:t xml:space="preserve">Differences between </w:t>
      </w:r>
      <w:proofErr w:type="spellStart"/>
      <w:r w:rsidRPr="00575D48">
        <w:rPr>
          <w:rFonts w:asciiTheme="majorHAnsi" w:hAnsiTheme="majorHAnsi"/>
          <w:sz w:val="24"/>
          <w:szCs w:val="24"/>
          <w:lang w:val="en-US"/>
        </w:rPr>
        <w:t>Pseudophyllidean</w:t>
      </w:r>
      <w:proofErr w:type="spellEnd"/>
      <w:r w:rsidRPr="00575D48">
        <w:rPr>
          <w:rFonts w:asciiTheme="majorHAnsi" w:hAnsiTheme="majorHAnsi"/>
          <w:sz w:val="24"/>
          <w:szCs w:val="24"/>
          <w:lang w:val="en-US"/>
        </w:rPr>
        <w:t xml:space="preserve"> and </w:t>
      </w:r>
      <w:proofErr w:type="spellStart"/>
      <w:r w:rsidRPr="00575D48">
        <w:rPr>
          <w:rFonts w:asciiTheme="majorHAnsi" w:hAnsiTheme="majorHAnsi"/>
          <w:sz w:val="24"/>
          <w:szCs w:val="24"/>
          <w:lang w:val="en-US"/>
        </w:rPr>
        <w:t>Cyclophyllidean</w:t>
      </w:r>
      <w:proofErr w:type="spellEnd"/>
      <w:r w:rsidRPr="00575D48">
        <w:rPr>
          <w:rFonts w:asciiTheme="majorHAnsi" w:hAnsiTheme="majorHAnsi"/>
          <w:sz w:val="24"/>
          <w:szCs w:val="24"/>
          <w:lang w:val="en-US"/>
        </w:rPr>
        <w:t xml:space="preserve"> Tapeworms</w:t>
      </w:r>
    </w:p>
    <w:tbl>
      <w:tblPr>
        <w:tblStyle w:val="LightShading"/>
        <w:tblW w:w="13460" w:type="dxa"/>
        <w:tblLook w:val="04A0"/>
      </w:tblPr>
      <w:tblGrid>
        <w:gridCol w:w="3004"/>
        <w:gridCol w:w="3966"/>
        <w:gridCol w:w="6490"/>
      </w:tblGrid>
      <w:tr w:rsidR="00575D48" w:rsidRPr="00575D48" w:rsidTr="00575D48">
        <w:trPr>
          <w:cnfStyle w:val="100000000000"/>
          <w:trHeight w:val="600"/>
        </w:trPr>
        <w:tc>
          <w:tcPr>
            <w:cnfStyle w:val="001000000000"/>
            <w:tcW w:w="300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Differenciating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Feature </w:t>
            </w:r>
          </w:p>
        </w:tc>
        <w:tc>
          <w:tcPr>
            <w:tcW w:w="396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1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Pseudophyllidea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</w:p>
        </w:tc>
        <w:tc>
          <w:tcPr>
            <w:tcW w:w="648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1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Cyclophyllidea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</w:p>
        </w:tc>
      </w:tr>
      <w:tr w:rsidR="00575D48" w:rsidRPr="00575D48" w:rsidTr="00575D48">
        <w:trPr>
          <w:cnfStyle w:val="000000100000"/>
          <w:trHeight w:val="1008"/>
        </w:trPr>
        <w:tc>
          <w:tcPr>
            <w:cnfStyle w:val="001000000000"/>
            <w:tcW w:w="300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Scolex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</w:p>
        </w:tc>
        <w:tc>
          <w:tcPr>
            <w:tcW w:w="396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1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Two sucking grooves (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bothria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) </w:t>
            </w:r>
          </w:p>
        </w:tc>
        <w:tc>
          <w:tcPr>
            <w:tcW w:w="648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1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Four muscular suckers (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acetabula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) </w:t>
            </w:r>
          </w:p>
        </w:tc>
      </w:tr>
      <w:tr w:rsidR="00575D48" w:rsidRPr="00575D48" w:rsidTr="00575D48">
        <w:trPr>
          <w:trHeight w:val="1990"/>
        </w:trPr>
        <w:tc>
          <w:tcPr>
            <w:cnfStyle w:val="001000000000"/>
            <w:tcW w:w="300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Genital pore </w:t>
            </w:r>
          </w:p>
        </w:tc>
        <w:tc>
          <w:tcPr>
            <w:tcW w:w="396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Center of each 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proglottid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</w:p>
        </w:tc>
        <w:tc>
          <w:tcPr>
            <w:tcW w:w="648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Margin(s) of each 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proglo</w:t>
            </w:r>
            <w:r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t</w:t>
            </w: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tid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</w:p>
          <w:p w:rsidR="00575D48" w:rsidRPr="00575D48" w:rsidRDefault="00575D48" w:rsidP="00575D48">
            <w:pPr>
              <w:spacing w:before="86"/>
              <w:textAlignment w:val="baseline"/>
              <w:cnfStyle w:val="0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On both sides in an irregular pattern (</w:t>
            </w:r>
            <w:proofErr w:type="spellStart"/>
            <w:r w:rsidRPr="00575D48">
              <w:rPr>
                <w:rFonts w:asciiTheme="majorHAnsi" w:eastAsia="Times New Roman" w:hAnsiTheme="majorHAnsi" w:cs="Arial"/>
                <w:i/>
                <w:iCs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Taenia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spp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);</w:t>
            </w:r>
          </w:p>
          <w:p w:rsidR="00575D48" w:rsidRPr="00575D48" w:rsidRDefault="00575D48" w:rsidP="00575D48">
            <w:pPr>
              <w:spacing w:before="86"/>
              <w:textAlignment w:val="baseline"/>
              <w:cnfStyle w:val="0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All on same side(</w:t>
            </w:r>
            <w:proofErr w:type="spellStart"/>
            <w:r w:rsidRPr="00575D48">
              <w:rPr>
                <w:rFonts w:asciiTheme="majorHAnsi" w:eastAsia="Times New Roman" w:hAnsiTheme="majorHAnsi" w:cs="Arial"/>
                <w:i/>
                <w:iCs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Hymenolepis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spp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);May have a pore on each side (</w:t>
            </w:r>
            <w:proofErr w:type="spellStart"/>
            <w:r w:rsidRPr="00575D48">
              <w:rPr>
                <w:rFonts w:asciiTheme="majorHAnsi" w:eastAsia="Times New Roman" w:hAnsiTheme="majorHAnsi" w:cs="Arial"/>
                <w:i/>
                <w:iCs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Dipylidium</w:t>
            </w:r>
            <w:proofErr w:type="spellEnd"/>
            <w:r w:rsidRPr="00575D48">
              <w:rPr>
                <w:rFonts w:asciiTheme="majorHAnsi" w:eastAsia="Times New Roman" w:hAnsiTheme="majorHAnsi" w:cs="Arial"/>
                <w:i/>
                <w:iCs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  <w:proofErr w:type="spellStart"/>
            <w:r w:rsidRPr="00575D48">
              <w:rPr>
                <w:rFonts w:asciiTheme="majorHAnsi" w:eastAsia="Times New Roman" w:hAnsiTheme="majorHAnsi" w:cs="Arial"/>
                <w:i/>
                <w:iCs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caninum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) </w:t>
            </w:r>
          </w:p>
        </w:tc>
      </w:tr>
      <w:tr w:rsidR="00575D48" w:rsidRPr="00575D48" w:rsidTr="00575D48">
        <w:trPr>
          <w:cnfStyle w:val="000000100000"/>
          <w:trHeight w:val="953"/>
        </w:trPr>
        <w:tc>
          <w:tcPr>
            <w:cnfStyle w:val="001000000000"/>
            <w:tcW w:w="300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Uterine pore</w:t>
            </w:r>
          </w:p>
        </w:tc>
        <w:tc>
          <w:tcPr>
            <w:tcW w:w="396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1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>
              <w:rPr>
                <w:rFonts w:asciiTheme="majorHAnsi" w:eastAsia="Times New Roman" w:hAnsiTheme="majorHAnsi" w:cs="Arial"/>
                <w:shadow/>
                <w:kern w:val="24"/>
                <w:sz w:val="24"/>
                <w:szCs w:val="24"/>
                <w:lang w:val="en-US" w:eastAsia="en-CA"/>
              </w:rPr>
              <w:t xml:space="preserve">Center of </w:t>
            </w:r>
            <w:proofErr w:type="spellStart"/>
            <w:r>
              <w:rPr>
                <w:rFonts w:asciiTheme="majorHAnsi" w:eastAsia="Times New Roman" w:hAnsiTheme="majorHAnsi" w:cs="Arial"/>
                <w:shadow/>
                <w:kern w:val="24"/>
                <w:sz w:val="24"/>
                <w:szCs w:val="24"/>
                <w:lang w:val="en-US" w:eastAsia="en-CA"/>
              </w:rPr>
              <w:t>proglottid</w:t>
            </w: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s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on ventral surface </w:t>
            </w:r>
          </w:p>
        </w:tc>
        <w:tc>
          <w:tcPr>
            <w:tcW w:w="648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1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Absent; uterus ends blindly </w:t>
            </w:r>
          </w:p>
        </w:tc>
      </w:tr>
      <w:tr w:rsidR="00575D48" w:rsidRPr="00575D48" w:rsidTr="00575D48">
        <w:trPr>
          <w:trHeight w:val="648"/>
        </w:trPr>
        <w:tc>
          <w:tcPr>
            <w:cnfStyle w:val="001000000000"/>
            <w:tcW w:w="300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Uterus(gravid) </w:t>
            </w:r>
          </w:p>
        </w:tc>
        <w:tc>
          <w:tcPr>
            <w:tcW w:w="396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Relatively long,</w:t>
            </w:r>
            <w:r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coiled </w:t>
            </w:r>
          </w:p>
        </w:tc>
        <w:tc>
          <w:tcPr>
            <w:tcW w:w="648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Saclike, highly branched </w:t>
            </w:r>
          </w:p>
        </w:tc>
      </w:tr>
      <w:tr w:rsidR="00575D48" w:rsidRPr="00575D48" w:rsidTr="00575D48">
        <w:trPr>
          <w:cnfStyle w:val="000000100000"/>
          <w:trHeight w:val="600"/>
        </w:trPr>
        <w:tc>
          <w:tcPr>
            <w:cnfStyle w:val="001000000000"/>
            <w:tcW w:w="300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Eggs </w:t>
            </w:r>
          </w:p>
        </w:tc>
        <w:tc>
          <w:tcPr>
            <w:tcW w:w="396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1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Operculate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</w:p>
        </w:tc>
        <w:tc>
          <w:tcPr>
            <w:tcW w:w="648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1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Non-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operculated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</w:p>
        </w:tc>
      </w:tr>
      <w:tr w:rsidR="00575D48" w:rsidRPr="00575D48" w:rsidTr="00575D48">
        <w:trPr>
          <w:trHeight w:val="603"/>
        </w:trPr>
        <w:tc>
          <w:tcPr>
            <w:cnfStyle w:val="001000000000"/>
            <w:tcW w:w="300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Oncosphere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 </w:t>
            </w:r>
          </w:p>
        </w:tc>
        <w:tc>
          <w:tcPr>
            <w:tcW w:w="396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Ciliated (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coracidium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) </w:t>
            </w:r>
          </w:p>
        </w:tc>
        <w:tc>
          <w:tcPr>
            <w:tcW w:w="648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0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Non-ciliated </w:t>
            </w:r>
          </w:p>
        </w:tc>
      </w:tr>
      <w:tr w:rsidR="00575D48" w:rsidRPr="00575D48" w:rsidTr="00575D48">
        <w:trPr>
          <w:cnfStyle w:val="000000100000"/>
          <w:trHeight w:val="953"/>
        </w:trPr>
        <w:tc>
          <w:tcPr>
            <w:cnfStyle w:val="001000000000"/>
            <w:tcW w:w="300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Larvae </w:t>
            </w:r>
          </w:p>
        </w:tc>
        <w:tc>
          <w:tcPr>
            <w:tcW w:w="396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1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proofErr w:type="spellStart"/>
            <w:r>
              <w:rPr>
                <w:rFonts w:asciiTheme="majorHAnsi" w:eastAsia="Times New Roman" w:hAnsiTheme="majorHAnsi" w:cs="Arial"/>
                <w:shadow/>
                <w:kern w:val="24"/>
                <w:sz w:val="24"/>
                <w:szCs w:val="24"/>
                <w:lang w:val="en-US" w:eastAsia="en-CA"/>
              </w:rPr>
              <w:t>Procercoid</w:t>
            </w:r>
            <w:proofErr w:type="spellEnd"/>
            <w:r>
              <w:rPr>
                <w:rFonts w:asciiTheme="majorHAnsi" w:eastAsia="Times New Roman" w:hAnsiTheme="majorHAnsi" w:cs="Arial"/>
                <w:shadow/>
                <w:kern w:val="24"/>
                <w:sz w:val="24"/>
                <w:szCs w:val="24"/>
                <w:lang w:val="en-US" w:eastAsia="en-CA"/>
              </w:rPr>
              <w:t xml:space="preserve"> &amp; </w:t>
            </w:r>
            <w:proofErr w:type="spellStart"/>
            <w:r>
              <w:rPr>
                <w:rFonts w:asciiTheme="majorHAnsi" w:eastAsia="Times New Roman" w:hAnsiTheme="majorHAnsi" w:cs="Arial"/>
                <w:shadow/>
                <w:kern w:val="24"/>
                <w:sz w:val="24"/>
                <w:szCs w:val="24"/>
                <w:lang w:val="en-US" w:eastAsia="en-CA"/>
              </w:rPr>
              <w:t>pleroc</w:t>
            </w:r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ercoid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; both forms solid </w:t>
            </w:r>
          </w:p>
        </w:tc>
        <w:tc>
          <w:tcPr>
            <w:tcW w:w="6480" w:type="dxa"/>
            <w:hideMark/>
          </w:tcPr>
          <w:p w:rsidR="00575D48" w:rsidRPr="00575D48" w:rsidRDefault="00575D48" w:rsidP="00575D48">
            <w:pPr>
              <w:spacing w:before="86"/>
              <w:textAlignment w:val="baseline"/>
              <w:cnfStyle w:val="000000100000"/>
              <w:rPr>
                <w:rFonts w:asciiTheme="majorHAnsi" w:eastAsia="Times New Roman" w:hAnsiTheme="majorHAnsi" w:cs="Arial"/>
                <w:color w:val="auto"/>
                <w:sz w:val="24"/>
                <w:szCs w:val="24"/>
                <w:lang w:eastAsia="en-CA"/>
              </w:rPr>
            </w:pP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Cysticercoid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, 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cysticercus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, </w:t>
            </w:r>
            <w:proofErr w:type="spellStart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>hydatid</w:t>
            </w:r>
            <w:proofErr w:type="spellEnd"/>
            <w:r w:rsidRPr="00575D48">
              <w:rPr>
                <w:rFonts w:asciiTheme="majorHAnsi" w:eastAsia="Times New Roman" w:hAnsiTheme="majorHAnsi" w:cs="Arial"/>
                <w:shadow/>
                <w:color w:val="auto"/>
                <w:kern w:val="24"/>
                <w:sz w:val="24"/>
                <w:szCs w:val="24"/>
                <w:lang w:val="en-US" w:eastAsia="en-CA"/>
              </w:rPr>
              <w:t xml:space="preserve">; all forms cystic </w:t>
            </w:r>
          </w:p>
        </w:tc>
      </w:tr>
    </w:tbl>
    <w:p w:rsidR="00575D48" w:rsidRPr="00575D48" w:rsidRDefault="00575D48" w:rsidP="00575D48"/>
    <w:sectPr w:rsidR="00575D48" w:rsidRPr="00575D48" w:rsidSect="00575D4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D48"/>
    <w:rsid w:val="00575D48"/>
    <w:rsid w:val="00D71CDB"/>
    <w:rsid w:val="00D96AC5"/>
    <w:rsid w:val="00ED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C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LightShading">
    <w:name w:val="Light Shading"/>
    <w:basedOn w:val="TableNormal"/>
    <w:uiPriority w:val="60"/>
    <w:rsid w:val="00575D4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2013-10-02T00:46:00Z</dcterms:created>
  <dcterms:modified xsi:type="dcterms:W3CDTF">2013-10-02T00:51:00Z</dcterms:modified>
</cp:coreProperties>
</file>