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B4" w:rsidRPr="00C863B4" w:rsidRDefault="00C863B4" w:rsidP="00C863B4">
      <w:pPr>
        <w:jc w:val="both"/>
        <w:rPr>
          <w:rFonts w:ascii="Arial" w:hAnsi="Arial" w:cs="Arial"/>
          <w:sz w:val="24"/>
          <w:szCs w:val="24"/>
        </w:rPr>
      </w:pPr>
      <w:bookmarkStart w:id="0" w:name="_GoBack"/>
      <w:r w:rsidRPr="00C863B4">
        <w:rPr>
          <w:rFonts w:ascii="Arial" w:hAnsi="Arial" w:cs="Arial"/>
          <w:b/>
          <w:sz w:val="24"/>
          <w:szCs w:val="24"/>
        </w:rPr>
        <w:t>Artículo 372</w:t>
      </w:r>
      <w:bookmarkEnd w:id="0"/>
      <w:r w:rsidRPr="00C863B4">
        <w:rPr>
          <w:rFonts w:ascii="Arial" w:hAnsi="Arial" w:cs="Arial"/>
          <w:sz w:val="24"/>
          <w:szCs w:val="24"/>
        </w:rPr>
        <w:t xml:space="preserve">. La Junta Directiva del Banco de la República será la autoridad monetaria, cambiaria y crediticia, conforme a las funciones que le asigne la ley. Tendrá a su cargo la dirección y ejecución de las funciones del Banco y estará conformada por siete miembros, entre ellos el Ministro de Hacienda, quien la presidirá. El Gerente del Banco será elegido por la Junta Directiva y será miembro de ella. Los cinco miembros restantes, de dedicación exclusiva, serán nombrados por el Presidente de la República para períodos prorrogables de cuatro años, reemplazados dos de ellos, cada cuatro años. Los miembros de la Junta Directiva representarán exclusivamente el interés de la Nación. </w:t>
      </w:r>
    </w:p>
    <w:p w:rsidR="00C863B4" w:rsidRPr="00C863B4" w:rsidRDefault="00C863B4" w:rsidP="00C863B4">
      <w:pPr>
        <w:jc w:val="both"/>
        <w:rPr>
          <w:rFonts w:ascii="Arial" w:hAnsi="Arial" w:cs="Arial"/>
          <w:sz w:val="24"/>
          <w:szCs w:val="24"/>
        </w:rPr>
      </w:pPr>
      <w:r w:rsidRPr="00C863B4">
        <w:rPr>
          <w:rFonts w:ascii="Arial" w:hAnsi="Arial" w:cs="Arial"/>
          <w:sz w:val="24"/>
          <w:szCs w:val="24"/>
        </w:rPr>
        <w:t xml:space="preserve">El Congreso dictará la ley a la cual deberá ceñirse el Banco de la República para el ejercicio de sus funciones y las normas con sujeción a las cuales el Gobierno expedirá los estatutos del Banco en los que se determinen, entre otros aspectos, la forma de su organización, su régimen legal, el funcionamiento de su Junta Directiva y el Consejo de Administración, el período del Gerente, las reglas para la constitución de sus reservas, entre ellas, la de estabilización cambiaria y monetaria, y el destino de los excedentes de sus utilidades. </w:t>
      </w:r>
    </w:p>
    <w:p w:rsidR="00D746FE" w:rsidRPr="00C863B4" w:rsidRDefault="00C863B4" w:rsidP="00C863B4">
      <w:pPr>
        <w:jc w:val="both"/>
        <w:rPr>
          <w:rFonts w:ascii="Arial" w:hAnsi="Arial" w:cs="Arial"/>
          <w:sz w:val="24"/>
          <w:szCs w:val="24"/>
        </w:rPr>
      </w:pPr>
      <w:r w:rsidRPr="00C863B4">
        <w:rPr>
          <w:rFonts w:ascii="Arial" w:hAnsi="Arial" w:cs="Arial"/>
          <w:sz w:val="24"/>
          <w:szCs w:val="24"/>
        </w:rPr>
        <w:t>El Presidente de la República ejercerá la inspección, vigilancia y control del Banco en los términos que señale la ley.</w:t>
      </w:r>
    </w:p>
    <w:sectPr w:rsidR="00D746FE" w:rsidRPr="00C863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B4"/>
    <w:rsid w:val="0072774D"/>
    <w:rsid w:val="00C863B4"/>
    <w:rsid w:val="00CE217A"/>
    <w:rsid w:val="00D57E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1146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2013-08-24T00:44:00Z</dcterms:created>
  <dcterms:modified xsi:type="dcterms:W3CDTF">2013-08-24T00:46:00Z</dcterms:modified>
</cp:coreProperties>
</file>