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1D" w:rsidRPr="0087031D" w:rsidRDefault="0087031D" w:rsidP="0087031D">
      <w:pPr>
        <w:pStyle w:val="NormalWeb"/>
        <w:shd w:val="clear" w:color="auto" w:fill="FFFFFF"/>
        <w:spacing w:before="0" w:beforeAutospacing="0" w:after="0" w:afterAutospacing="0" w:line="315" w:lineRule="atLeast"/>
        <w:jc w:val="both"/>
        <w:rPr>
          <w:rFonts w:ascii="Arial" w:hAnsi="Arial" w:cs="Arial"/>
          <w:sz w:val="20"/>
          <w:szCs w:val="20"/>
        </w:rPr>
      </w:pPr>
      <w:r w:rsidRPr="0087031D">
        <w:rPr>
          <w:rStyle w:val="Textoennegrita"/>
          <w:rFonts w:ascii="Arial" w:hAnsi="Arial" w:cs="Arial"/>
          <w:sz w:val="20"/>
          <w:szCs w:val="20"/>
        </w:rPr>
        <w:t>Antecedentes</w:t>
      </w:r>
    </w:p>
    <w:p w:rsidR="0087031D" w:rsidRDefault="0087031D" w:rsidP="0087031D">
      <w:pPr>
        <w:pStyle w:val="NormalWeb"/>
        <w:shd w:val="clear" w:color="auto" w:fill="FFFFFF"/>
        <w:spacing w:before="0" w:beforeAutospacing="0" w:after="0" w:afterAutospacing="0" w:line="315" w:lineRule="atLeast"/>
        <w:jc w:val="both"/>
        <w:rPr>
          <w:rStyle w:val="txt-general"/>
          <w:rFonts w:ascii="Arial" w:hAnsi="Arial" w:cs="Arial"/>
          <w:sz w:val="20"/>
          <w:szCs w:val="20"/>
        </w:rPr>
      </w:pPr>
    </w:p>
    <w:p w:rsidR="0087031D" w:rsidRPr="0087031D" w:rsidRDefault="0087031D" w:rsidP="0087031D">
      <w:pPr>
        <w:pStyle w:val="NormalWeb"/>
        <w:shd w:val="clear" w:color="auto" w:fill="FFFFFF"/>
        <w:spacing w:before="0" w:beforeAutospacing="0" w:after="0" w:afterAutospacing="0" w:line="315" w:lineRule="atLeast"/>
        <w:jc w:val="both"/>
        <w:rPr>
          <w:rFonts w:ascii="Arial" w:hAnsi="Arial" w:cs="Arial"/>
          <w:sz w:val="20"/>
          <w:szCs w:val="20"/>
        </w:rPr>
      </w:pPr>
      <w:r w:rsidRPr="0087031D">
        <w:rPr>
          <w:rStyle w:val="txt-general"/>
          <w:rFonts w:ascii="Arial" w:hAnsi="Arial" w:cs="Arial"/>
          <w:sz w:val="20"/>
          <w:szCs w:val="20"/>
        </w:rPr>
        <w:t>Después de varios intentos, en junio de 1880 el Gobierno creó el Banco Nacional, para que actuara como su banquero y promoviera el crédito público. La función</w:t>
      </w:r>
      <w:r w:rsidRPr="0087031D">
        <w:rPr>
          <w:rStyle w:val="apple-converted-space"/>
          <w:rFonts w:ascii="Arial" w:hAnsi="Arial" w:cs="Arial"/>
          <w:sz w:val="20"/>
          <w:szCs w:val="20"/>
        </w:rPr>
        <w:t> </w:t>
      </w:r>
      <w:r w:rsidRPr="0087031D">
        <w:rPr>
          <w:rStyle w:val="txt-general"/>
          <w:rFonts w:ascii="Arial" w:hAnsi="Arial" w:cs="Arial"/>
          <w:sz w:val="20"/>
          <w:szCs w:val="20"/>
        </w:rPr>
        <w:t>de banquero consistía en prestar al Gobierno los servicios de consignación de los fondos públicos o de Tesorería, crédito, colaboración en la contratación de</w:t>
      </w:r>
      <w:r w:rsidRPr="0087031D">
        <w:rPr>
          <w:rStyle w:val="apple-converted-space"/>
          <w:rFonts w:ascii="Arial" w:hAnsi="Arial" w:cs="Arial"/>
          <w:sz w:val="20"/>
          <w:szCs w:val="20"/>
        </w:rPr>
        <w:t> </w:t>
      </w:r>
      <w:r w:rsidRPr="0087031D">
        <w:rPr>
          <w:rStyle w:val="txt-general"/>
          <w:rFonts w:ascii="Arial" w:hAnsi="Arial" w:cs="Arial"/>
          <w:sz w:val="20"/>
          <w:szCs w:val="20"/>
        </w:rPr>
        <w:t>préstamos internos y externos y la administración de los títulos de deuda pública. También había sido encargado de la emisión de billetes. Pero en 1894 debió ser liquidado por el Congreso, debido a excesos registrados en la capacidad de emisión. Años más tarde fue creado el Banco Central de Colombia, el cual funcionó de 1905 a 1909, y luego fue liquidado por idénticas razones que el anterior.</w:t>
      </w:r>
    </w:p>
    <w:p w:rsidR="0087031D" w:rsidRPr="0087031D" w:rsidRDefault="0087031D" w:rsidP="0087031D">
      <w:pPr>
        <w:pStyle w:val="txt-general1"/>
        <w:shd w:val="clear" w:color="auto" w:fill="FFFFFF"/>
        <w:spacing w:before="0" w:beforeAutospacing="0" w:after="0" w:afterAutospacing="0" w:line="315" w:lineRule="atLeast"/>
        <w:jc w:val="both"/>
        <w:rPr>
          <w:rFonts w:ascii="Arial" w:hAnsi="Arial" w:cs="Arial"/>
          <w:sz w:val="20"/>
          <w:szCs w:val="20"/>
        </w:rPr>
      </w:pPr>
      <w:r w:rsidRPr="0087031D">
        <w:rPr>
          <w:rFonts w:ascii="Arial" w:hAnsi="Arial" w:cs="Arial"/>
          <w:sz w:val="20"/>
          <w:szCs w:val="20"/>
        </w:rPr>
        <w:t>La primera Guerra Mundial trajo a Colombia graves dificultades económicas y financieras que no mejoraron con el advenimiento de la paz. Las perspectivas de las entidades bancarias durante las dos primeras décadas del siglo XX no eran halagüeñas por el desorden monetario</w:t>
      </w:r>
      <w:r w:rsidRPr="0087031D">
        <w:rPr>
          <w:rStyle w:val="apple-converted-space"/>
          <w:rFonts w:ascii="Arial" w:hAnsi="Arial" w:cs="Arial"/>
          <w:sz w:val="20"/>
          <w:szCs w:val="20"/>
        </w:rPr>
        <w:t> </w:t>
      </w:r>
      <w:r w:rsidRPr="0087031D">
        <w:rPr>
          <w:rFonts w:ascii="Arial" w:hAnsi="Arial" w:cs="Arial"/>
          <w:sz w:val="20"/>
          <w:szCs w:val="20"/>
        </w:rPr>
        <w:t>existente: se emitía dinero sin control y las reservas de los bancos estaban dispersas. Además se carecía de un sistema formal de garantías y respaldo gubernamental para los bancos.</w:t>
      </w:r>
    </w:p>
    <w:p w:rsidR="0087031D" w:rsidRPr="0087031D" w:rsidRDefault="0087031D" w:rsidP="0087031D">
      <w:pPr>
        <w:pStyle w:val="NormalWeb"/>
        <w:shd w:val="clear" w:color="auto" w:fill="FFFFFF"/>
        <w:spacing w:before="0" w:beforeAutospacing="0" w:after="0" w:afterAutospacing="0" w:line="315" w:lineRule="atLeast"/>
        <w:jc w:val="both"/>
        <w:rPr>
          <w:rFonts w:ascii="Arial" w:hAnsi="Arial" w:cs="Arial"/>
          <w:sz w:val="20"/>
          <w:szCs w:val="20"/>
        </w:rPr>
      </w:pPr>
      <w:r w:rsidRPr="0087031D">
        <w:rPr>
          <w:rStyle w:val="txt-general"/>
          <w:rFonts w:ascii="Arial" w:hAnsi="Arial" w:cs="Arial"/>
          <w:sz w:val="20"/>
          <w:szCs w:val="20"/>
        </w:rPr>
        <w:t>La anterior situación precipitó la crisis de los años 1922 y 1923 que evidenció la escasez de medio circulante. Se hacía apremiante la necesidad de dar solidez y estabilidad a la moneda y al crédito mediante un banco central sólido y consistente</w:t>
      </w:r>
      <w:r w:rsidRPr="0087031D">
        <w:rPr>
          <w:rFonts w:ascii="Arial" w:hAnsi="Arial" w:cs="Arial"/>
          <w:sz w:val="20"/>
          <w:szCs w:val="20"/>
        </w:rPr>
        <w:t>.</w:t>
      </w:r>
    </w:p>
    <w:p w:rsidR="0087031D" w:rsidRPr="0087031D" w:rsidRDefault="0087031D" w:rsidP="0087031D">
      <w:pPr>
        <w:pStyle w:val="NormalWeb"/>
        <w:shd w:val="clear" w:color="auto" w:fill="FFFFFF"/>
        <w:spacing w:before="0" w:beforeAutospacing="0" w:after="0" w:afterAutospacing="0" w:line="315" w:lineRule="atLeast"/>
        <w:jc w:val="both"/>
        <w:rPr>
          <w:rFonts w:ascii="Arial" w:hAnsi="Arial" w:cs="Arial"/>
          <w:sz w:val="20"/>
          <w:szCs w:val="20"/>
        </w:rPr>
      </w:pPr>
      <w:r w:rsidRPr="0087031D">
        <w:rPr>
          <w:rFonts w:ascii="Arial" w:hAnsi="Arial" w:cs="Arial"/>
          <w:sz w:val="20"/>
          <w:szCs w:val="20"/>
        </w:rPr>
        <w:t> </w:t>
      </w:r>
    </w:p>
    <w:p w:rsidR="0087031D" w:rsidRPr="0087031D" w:rsidRDefault="0087031D" w:rsidP="0087031D">
      <w:pPr>
        <w:pStyle w:val="NormalWeb"/>
        <w:shd w:val="clear" w:color="auto" w:fill="FFFFFF"/>
        <w:spacing w:before="0" w:beforeAutospacing="0" w:after="0" w:afterAutospacing="0" w:line="315" w:lineRule="atLeast"/>
        <w:jc w:val="both"/>
        <w:rPr>
          <w:rFonts w:ascii="Arial" w:hAnsi="Arial" w:cs="Arial"/>
          <w:sz w:val="20"/>
          <w:szCs w:val="20"/>
        </w:rPr>
      </w:pPr>
      <w:r w:rsidRPr="0087031D">
        <w:rPr>
          <w:rStyle w:val="txt-negro-bold"/>
          <w:rFonts w:ascii="Arial" w:hAnsi="Arial" w:cs="Arial"/>
          <w:b/>
          <w:bCs/>
          <w:sz w:val="20"/>
          <w:szCs w:val="20"/>
        </w:rPr>
        <w:t>La Misión Kemmerer</w:t>
      </w:r>
    </w:p>
    <w:p w:rsidR="0087031D" w:rsidRDefault="0087031D" w:rsidP="0087031D">
      <w:pPr>
        <w:pStyle w:val="NormalWeb"/>
        <w:shd w:val="clear" w:color="auto" w:fill="FFFFFF"/>
        <w:spacing w:before="0" w:beforeAutospacing="0" w:after="0" w:afterAutospacing="0" w:line="315" w:lineRule="atLeast"/>
        <w:jc w:val="both"/>
        <w:rPr>
          <w:rStyle w:val="txt-negro-bold"/>
          <w:rFonts w:ascii="Arial" w:hAnsi="Arial" w:cs="Arial"/>
          <w:sz w:val="20"/>
          <w:szCs w:val="20"/>
        </w:rPr>
      </w:pPr>
    </w:p>
    <w:p w:rsidR="0087031D" w:rsidRPr="0087031D" w:rsidRDefault="0087031D" w:rsidP="0087031D">
      <w:pPr>
        <w:pStyle w:val="NormalWeb"/>
        <w:shd w:val="clear" w:color="auto" w:fill="FFFFFF"/>
        <w:spacing w:before="0" w:beforeAutospacing="0" w:after="0" w:afterAutospacing="0" w:line="315" w:lineRule="atLeast"/>
        <w:jc w:val="both"/>
        <w:rPr>
          <w:rFonts w:ascii="Arial" w:hAnsi="Arial" w:cs="Arial"/>
          <w:sz w:val="20"/>
          <w:szCs w:val="20"/>
        </w:rPr>
      </w:pPr>
      <w:r w:rsidRPr="0087031D">
        <w:rPr>
          <w:rStyle w:val="txt-negro-bold"/>
          <w:rFonts w:ascii="Arial" w:hAnsi="Arial" w:cs="Arial"/>
          <w:sz w:val="20"/>
          <w:szCs w:val="20"/>
        </w:rPr>
        <w:t>En marzo de 1923, el presidente Pedro Nel Ospina contrató un grupo de expertos presidido por el profesor Edwin Walter Kemmerer, que más tarde se llamó la Misión Kemmerer. La primera actividad de esta misión fue el estudio de nuestra realidad económica mediante el contacto y discusión con cámaras de comercio, sociedades de agricultores y agentes oficiosos regionales. Luego, sin que se tratara de un trasplante de normas y organización vigentes en otras economías ni de innovación total, la misión condujo al ordenamiento de lo aprovechable en las leyes dictadas el año anterior, como base para la elaboración del estatuto orgánico de la entidad que iba a nacer.</w:t>
      </w:r>
    </w:p>
    <w:p w:rsidR="0087031D" w:rsidRPr="0087031D" w:rsidRDefault="0087031D" w:rsidP="0087031D">
      <w:pPr>
        <w:pStyle w:val="NormalWeb"/>
        <w:shd w:val="clear" w:color="auto" w:fill="FFFFFF"/>
        <w:spacing w:before="0" w:beforeAutospacing="0" w:after="0" w:afterAutospacing="0" w:line="315" w:lineRule="atLeast"/>
        <w:jc w:val="both"/>
        <w:rPr>
          <w:rFonts w:ascii="Arial" w:hAnsi="Arial" w:cs="Arial"/>
          <w:sz w:val="20"/>
          <w:szCs w:val="20"/>
        </w:rPr>
      </w:pPr>
    </w:p>
    <w:p w:rsidR="0087031D" w:rsidRPr="0087031D" w:rsidRDefault="0087031D" w:rsidP="0087031D">
      <w:pPr>
        <w:pStyle w:val="NormalWeb"/>
        <w:shd w:val="clear" w:color="auto" w:fill="FFFFFF"/>
        <w:spacing w:before="0" w:beforeAutospacing="0" w:after="0" w:afterAutospacing="0" w:line="315" w:lineRule="atLeast"/>
        <w:jc w:val="both"/>
        <w:rPr>
          <w:rFonts w:ascii="Arial" w:hAnsi="Arial" w:cs="Arial"/>
          <w:sz w:val="20"/>
          <w:szCs w:val="20"/>
        </w:rPr>
      </w:pPr>
      <w:r w:rsidRPr="0087031D">
        <w:rPr>
          <w:rStyle w:val="txt-negro-bold"/>
          <w:rFonts w:ascii="Arial" w:hAnsi="Arial" w:cs="Arial"/>
          <w:b/>
          <w:bCs/>
          <w:sz w:val="20"/>
          <w:szCs w:val="20"/>
        </w:rPr>
        <w:t>Creación del Banco de la República</w:t>
      </w:r>
    </w:p>
    <w:p w:rsidR="0087031D" w:rsidRDefault="0087031D" w:rsidP="0087031D">
      <w:pPr>
        <w:pStyle w:val="NormalWeb"/>
        <w:shd w:val="clear" w:color="auto" w:fill="FFFFFF"/>
        <w:spacing w:before="0" w:beforeAutospacing="0" w:after="0" w:afterAutospacing="0" w:line="315" w:lineRule="atLeast"/>
        <w:jc w:val="both"/>
        <w:rPr>
          <w:rStyle w:val="txt-negro-bold"/>
          <w:rFonts w:ascii="Arial" w:hAnsi="Arial" w:cs="Arial"/>
          <w:sz w:val="20"/>
          <w:szCs w:val="20"/>
        </w:rPr>
      </w:pPr>
    </w:p>
    <w:p w:rsidR="0087031D" w:rsidRDefault="0087031D" w:rsidP="0087031D">
      <w:pPr>
        <w:pStyle w:val="NormalWeb"/>
        <w:shd w:val="clear" w:color="auto" w:fill="FFFFFF"/>
        <w:spacing w:before="0" w:beforeAutospacing="0" w:after="0" w:afterAutospacing="0" w:line="315" w:lineRule="atLeast"/>
        <w:jc w:val="both"/>
        <w:rPr>
          <w:rFonts w:ascii="Arial" w:hAnsi="Arial" w:cs="Arial"/>
          <w:sz w:val="20"/>
          <w:szCs w:val="20"/>
        </w:rPr>
      </w:pPr>
      <w:bookmarkStart w:id="0" w:name="_GoBack"/>
      <w:bookmarkEnd w:id="0"/>
      <w:r w:rsidRPr="0087031D">
        <w:rPr>
          <w:rStyle w:val="txt-negro-bold"/>
          <w:rFonts w:ascii="Arial" w:hAnsi="Arial" w:cs="Arial"/>
          <w:sz w:val="20"/>
          <w:szCs w:val="20"/>
        </w:rPr>
        <w:t>Mediante la Ley 25 de 1923 se creó el Banco de la República, como banco central colombiano. Se organizó como sociedad anónima con un capital original de $10 millones oro, de los cuales un 50% lo aportó el Gobierno y la diferencia los bancos comerciales nacionales, extranjeros y algunos particulares. A esta entidad se le confió, en forma exclusiva, la facultad de emitir la moneda legal colombiana, se le autorizó para actuar como prestamista de última instancia, administrar las reservas internacionales del país, y actuar como banquero del Gobierno. La Junta Directiva del Banco, conformada por 10 miembros, representantes del sector privado y del Gobierno, fue encargada por la misma Ley, de ejercer las funciones de regulación y control monetario bajo estrictos parámetros de ortodoxia financiera. Se le encomendó, además, fijar la tasa de descuento y la intervención para controlar las tasas de interés.</w:t>
      </w:r>
      <w:r>
        <w:rPr>
          <w:rFonts w:ascii="Arial" w:hAnsi="Arial" w:cs="Arial"/>
          <w:sz w:val="20"/>
          <w:szCs w:val="20"/>
        </w:rPr>
        <w:br/>
      </w:r>
    </w:p>
    <w:p w:rsidR="0087031D" w:rsidRPr="0087031D" w:rsidRDefault="0087031D" w:rsidP="0087031D">
      <w:pPr>
        <w:pStyle w:val="NormalWeb"/>
        <w:shd w:val="clear" w:color="auto" w:fill="FFFFFF"/>
        <w:spacing w:before="0" w:beforeAutospacing="0" w:after="0" w:afterAutospacing="0" w:line="315" w:lineRule="atLeast"/>
        <w:jc w:val="both"/>
        <w:rPr>
          <w:rFonts w:ascii="Arial" w:hAnsi="Arial" w:cs="Arial"/>
          <w:sz w:val="20"/>
          <w:szCs w:val="20"/>
        </w:rPr>
      </w:pPr>
      <w:r w:rsidRPr="0087031D">
        <w:rPr>
          <w:rStyle w:val="txt-negro-bold"/>
          <w:rFonts w:ascii="Arial" w:hAnsi="Arial" w:cs="Arial"/>
          <w:sz w:val="20"/>
          <w:szCs w:val="20"/>
        </w:rPr>
        <w:t>La creación del Banco de la República constituye un elemento fundamental en la organización económica e institucional del país. Con el paso de los años, esta institución ha experimentado cambios importantes que han buscado adecuarla a una economía en permanente proceso de crecimiento y actualización.</w:t>
      </w:r>
    </w:p>
    <w:p w:rsidR="00D746FE" w:rsidRPr="0087031D" w:rsidRDefault="0087031D" w:rsidP="0087031D">
      <w:pPr>
        <w:jc w:val="both"/>
      </w:pPr>
    </w:p>
    <w:sectPr w:rsidR="00D746FE" w:rsidRPr="0087031D" w:rsidSect="0087031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31D"/>
    <w:rsid w:val="0072774D"/>
    <w:rsid w:val="0087031D"/>
    <w:rsid w:val="00CE217A"/>
    <w:rsid w:val="00D57E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7031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xt-negro-bold">
    <w:name w:val="txt-negro-bold"/>
    <w:basedOn w:val="Fuentedeprrafopredeter"/>
    <w:rsid w:val="0087031D"/>
  </w:style>
  <w:style w:type="character" w:styleId="Textoennegrita">
    <w:name w:val="Strong"/>
    <w:basedOn w:val="Fuentedeprrafopredeter"/>
    <w:uiPriority w:val="22"/>
    <w:qFormat/>
    <w:rsid w:val="0087031D"/>
    <w:rPr>
      <w:b/>
      <w:bCs/>
    </w:rPr>
  </w:style>
  <w:style w:type="character" w:customStyle="1" w:styleId="txt-general">
    <w:name w:val="txt-general"/>
    <w:basedOn w:val="Fuentedeprrafopredeter"/>
    <w:rsid w:val="0087031D"/>
  </w:style>
  <w:style w:type="character" w:customStyle="1" w:styleId="apple-converted-space">
    <w:name w:val="apple-converted-space"/>
    <w:basedOn w:val="Fuentedeprrafopredeter"/>
    <w:rsid w:val="0087031D"/>
  </w:style>
  <w:style w:type="paragraph" w:customStyle="1" w:styleId="txt-general1">
    <w:name w:val="txt-general1"/>
    <w:basedOn w:val="Normal"/>
    <w:rsid w:val="0087031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8703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03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7031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xt-negro-bold">
    <w:name w:val="txt-negro-bold"/>
    <w:basedOn w:val="Fuentedeprrafopredeter"/>
    <w:rsid w:val="0087031D"/>
  </w:style>
  <w:style w:type="character" w:styleId="Textoennegrita">
    <w:name w:val="Strong"/>
    <w:basedOn w:val="Fuentedeprrafopredeter"/>
    <w:uiPriority w:val="22"/>
    <w:qFormat/>
    <w:rsid w:val="0087031D"/>
    <w:rPr>
      <w:b/>
      <w:bCs/>
    </w:rPr>
  </w:style>
  <w:style w:type="character" w:customStyle="1" w:styleId="txt-general">
    <w:name w:val="txt-general"/>
    <w:basedOn w:val="Fuentedeprrafopredeter"/>
    <w:rsid w:val="0087031D"/>
  </w:style>
  <w:style w:type="character" w:customStyle="1" w:styleId="apple-converted-space">
    <w:name w:val="apple-converted-space"/>
    <w:basedOn w:val="Fuentedeprrafopredeter"/>
    <w:rsid w:val="0087031D"/>
  </w:style>
  <w:style w:type="paragraph" w:customStyle="1" w:styleId="txt-general1">
    <w:name w:val="txt-general1"/>
    <w:basedOn w:val="Normal"/>
    <w:rsid w:val="0087031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8703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03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11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517</Words>
  <Characters>2847</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2013-08-24T00:28:00Z</dcterms:created>
  <dcterms:modified xsi:type="dcterms:W3CDTF">2013-08-24T00:32:00Z</dcterms:modified>
</cp:coreProperties>
</file>