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Cuadrculamedia3-nfasis1"/>
        <w:tblpPr w:leftFromText="141" w:rightFromText="141" w:vertAnchor="page" w:horzAnchor="margin" w:tblpXSpec="center" w:tblpY="1608"/>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667"/>
        <w:gridCol w:w="1027"/>
        <w:gridCol w:w="1241"/>
        <w:gridCol w:w="1418"/>
        <w:gridCol w:w="1417"/>
        <w:gridCol w:w="1551"/>
        <w:gridCol w:w="1142"/>
        <w:gridCol w:w="1242"/>
        <w:gridCol w:w="1594"/>
        <w:gridCol w:w="1418"/>
      </w:tblGrid>
      <w:tr w:rsidR="000E5B62" w:rsidRPr="00C362A1" w:rsidTr="000E5B62">
        <w:trPr>
          <w:cnfStyle w:val="100000000000"/>
        </w:trPr>
        <w:tc>
          <w:tcPr>
            <w:cnfStyle w:val="001000000000"/>
            <w:tcW w:w="1276" w:type="dxa"/>
            <w:tcBorders>
              <w:top w:val="none" w:sz="0" w:space="0" w:color="auto"/>
              <w:left w:val="none" w:sz="0" w:space="0" w:color="auto"/>
              <w:bottom w:val="none" w:sz="0" w:space="0" w:color="auto"/>
              <w:right w:val="none" w:sz="0" w:space="0" w:color="auto"/>
            </w:tcBorders>
          </w:tcPr>
          <w:p w:rsidR="000E5B62" w:rsidRPr="00C362A1" w:rsidRDefault="000E5B62" w:rsidP="000E5B62">
            <w:pPr>
              <w:ind w:left="93"/>
              <w:jc w:val="right"/>
              <w:rPr>
                <w:rFonts w:ascii="Arial" w:eastAsia="Times New Roman" w:hAnsi="Arial" w:cs="Arial"/>
                <w:sz w:val="18"/>
                <w:szCs w:val="20"/>
                <w:lang w:eastAsia="es-CO"/>
              </w:rPr>
            </w:pPr>
            <w:r>
              <w:rPr>
                <w:rFonts w:ascii="Arial" w:eastAsia="Times New Roman" w:hAnsi="Arial" w:cs="Arial"/>
                <w:noProof/>
                <w:sz w:val="18"/>
                <w:szCs w:val="20"/>
                <w:lang w:eastAsia="es-CO"/>
              </w:rPr>
              <w:pict>
                <v:line id="Conector recto 2" o:spid="_x0000_s2052" style="position:absolute;left:0;text-align:left;z-index:251658240;visibility:visible" from="-3.55pt,.25pt" to="51.3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" strokecolor="black [3213]" strokeweight=".5pt">
                  <v:stroke joinstyle="miter"/>
                </v:line>
              </w:pict>
            </w:r>
            <w:r w:rsidRPr="00C362A1">
              <w:rPr>
                <w:rFonts w:ascii="Arial" w:eastAsia="Times New Roman" w:hAnsi="Arial" w:cs="Arial"/>
                <w:sz w:val="18"/>
                <w:szCs w:val="20"/>
                <w:lang w:eastAsia="es-CO"/>
              </w:rPr>
              <w:t xml:space="preserve">        </w:t>
            </w:r>
            <w:r>
              <w:rPr>
                <w:rFonts w:ascii="Arial" w:eastAsia="Times New Roman" w:hAnsi="Arial" w:cs="Arial"/>
                <w:b w:val="0"/>
                <w:sz w:val="18"/>
                <w:szCs w:val="20"/>
                <w:lang w:eastAsia="es-CO"/>
              </w:rPr>
              <w:t xml:space="preserve">           </w:t>
            </w:r>
            <w:r w:rsidRPr="00C362A1">
              <w:rPr>
                <w:rFonts w:ascii="Arial" w:eastAsia="Times New Roman" w:hAnsi="Arial" w:cs="Arial"/>
                <w:sz w:val="18"/>
                <w:szCs w:val="20"/>
                <w:lang w:eastAsia="es-CO"/>
              </w:rPr>
              <w:t>Ámbito</w:t>
            </w:r>
          </w:p>
          <w:p w:rsidR="000E5B62" w:rsidRPr="00C362A1" w:rsidRDefault="000E5B62" w:rsidP="000E5B62">
            <w:pPr>
              <w:rPr>
                <w:rFonts w:ascii="Arial" w:eastAsia="Times New Roman" w:hAnsi="Arial" w:cs="Arial"/>
                <w:sz w:val="18"/>
                <w:szCs w:val="20"/>
                <w:lang w:eastAsia="es-CO"/>
              </w:rPr>
            </w:pPr>
          </w:p>
          <w:p w:rsidR="000E5B62" w:rsidRPr="00C362A1" w:rsidRDefault="000E5B62" w:rsidP="000E5B62">
            <w:pPr>
              <w:rPr>
                <w:rFonts w:ascii="Arial" w:eastAsia="Times New Roman" w:hAnsi="Arial" w:cs="Arial"/>
                <w:sz w:val="18"/>
                <w:szCs w:val="20"/>
                <w:lang w:eastAsia="es-CO"/>
              </w:rPr>
            </w:pPr>
          </w:p>
          <w:p w:rsidR="000E5B62" w:rsidRPr="00C362A1" w:rsidRDefault="000E5B62" w:rsidP="000E5B62">
            <w:pPr>
              <w:rPr>
                <w:rFonts w:ascii="Arial" w:eastAsia="Times New Roman" w:hAnsi="Arial" w:cs="Arial"/>
                <w:sz w:val="18"/>
                <w:szCs w:val="20"/>
                <w:lang w:eastAsia="es-CO"/>
              </w:rPr>
            </w:pPr>
            <w:r w:rsidRPr="00C362A1">
              <w:rPr>
                <w:rFonts w:ascii="Arial" w:eastAsia="Times New Roman" w:hAnsi="Arial" w:cs="Arial"/>
                <w:sz w:val="18"/>
                <w:szCs w:val="20"/>
                <w:lang w:eastAsia="es-CO"/>
              </w:rPr>
              <w:t>Localidad</w:t>
            </w:r>
          </w:p>
        </w:tc>
        <w:tc>
          <w:tcPr>
            <w:tcW w:w="1667" w:type="dxa"/>
            <w:tcBorders>
              <w:top w:val="none" w:sz="0" w:space="0" w:color="auto"/>
              <w:left w:val="none" w:sz="0" w:space="0" w:color="auto"/>
              <w:bottom w:val="none" w:sz="0" w:space="0" w:color="auto"/>
              <w:right w:val="none" w:sz="0" w:space="0" w:color="auto"/>
            </w:tcBorders>
            <w:vAlign w:val="center"/>
          </w:tcPr>
          <w:p w:rsidR="000E5B62" w:rsidRDefault="000E5B62" w:rsidP="000E5B62">
            <w:pPr>
              <w:jc w:val="center"/>
              <w:cnfStyle w:val="100000000000"/>
              <w:rPr>
                <w:rFonts w:ascii="Arial" w:eastAsia="Times New Roman" w:hAnsi="Arial" w:cs="Arial"/>
                <w:b w:val="0"/>
                <w:sz w:val="18"/>
                <w:szCs w:val="20"/>
                <w:lang w:eastAsia="es-CO"/>
              </w:rPr>
            </w:pPr>
          </w:p>
          <w:p w:rsidR="000E5B62" w:rsidRPr="00C362A1" w:rsidRDefault="000E5B62" w:rsidP="000E5B62">
            <w:pPr>
              <w:jc w:val="center"/>
              <w:cnfStyle w:val="100000000000"/>
              <w:rPr>
                <w:rFonts w:ascii="Arial" w:eastAsia="Times New Roman" w:hAnsi="Arial" w:cs="Arial"/>
                <w:sz w:val="18"/>
                <w:szCs w:val="20"/>
                <w:lang w:eastAsia="es-CO"/>
              </w:rPr>
            </w:pPr>
            <w:r w:rsidRPr="00C362A1">
              <w:rPr>
                <w:rFonts w:ascii="Arial" w:eastAsia="Times New Roman" w:hAnsi="Arial" w:cs="Arial"/>
                <w:sz w:val="18"/>
                <w:szCs w:val="20"/>
                <w:lang w:eastAsia="es-CO"/>
              </w:rPr>
              <w:t>Educación</w:t>
            </w:r>
          </w:p>
          <w:p w:rsidR="000E5B62" w:rsidRPr="00C362A1" w:rsidRDefault="000E5B62" w:rsidP="000E5B62">
            <w:pPr>
              <w:jc w:val="center"/>
              <w:cnfStyle w:val="100000000000"/>
              <w:rPr>
                <w:rFonts w:ascii="Arial" w:eastAsia="Calibri" w:hAnsi="Arial" w:cs="Arial"/>
                <w:sz w:val="18"/>
                <w:szCs w:val="20"/>
              </w:rPr>
            </w:pPr>
          </w:p>
        </w:tc>
        <w:tc>
          <w:tcPr>
            <w:tcW w:w="1027" w:type="dxa"/>
            <w:tcBorders>
              <w:top w:val="none" w:sz="0" w:space="0" w:color="auto"/>
              <w:left w:val="none" w:sz="0" w:space="0" w:color="auto"/>
              <w:bottom w:val="none" w:sz="0" w:space="0" w:color="auto"/>
              <w:right w:val="none" w:sz="0" w:space="0" w:color="auto"/>
            </w:tcBorders>
            <w:vAlign w:val="center"/>
          </w:tcPr>
          <w:p w:rsidR="000E5B62" w:rsidRDefault="000E5B62" w:rsidP="000E5B62">
            <w:pPr>
              <w:jc w:val="center"/>
              <w:cnfStyle w:val="100000000000"/>
              <w:rPr>
                <w:rFonts w:ascii="Arial" w:eastAsia="Times New Roman" w:hAnsi="Arial" w:cs="Arial"/>
                <w:b w:val="0"/>
                <w:sz w:val="18"/>
                <w:szCs w:val="20"/>
                <w:lang w:eastAsia="es-CO"/>
              </w:rPr>
            </w:pPr>
          </w:p>
          <w:p w:rsidR="000E5B62" w:rsidRPr="00C362A1" w:rsidRDefault="000E5B62" w:rsidP="000E5B62">
            <w:pPr>
              <w:jc w:val="center"/>
              <w:cnfStyle w:val="100000000000"/>
              <w:rPr>
                <w:rFonts w:ascii="Arial" w:eastAsia="Times New Roman" w:hAnsi="Arial" w:cs="Arial"/>
                <w:sz w:val="18"/>
                <w:szCs w:val="20"/>
                <w:lang w:eastAsia="es-CO"/>
              </w:rPr>
            </w:pPr>
            <w:r w:rsidRPr="00C362A1">
              <w:rPr>
                <w:rFonts w:ascii="Arial" w:eastAsia="Times New Roman" w:hAnsi="Arial" w:cs="Arial"/>
                <w:sz w:val="18"/>
                <w:szCs w:val="20"/>
                <w:lang w:eastAsia="es-CO"/>
              </w:rPr>
              <w:t>Socio</w:t>
            </w:r>
          </w:p>
          <w:p w:rsidR="000E5B62" w:rsidRPr="00C362A1" w:rsidRDefault="000E5B62" w:rsidP="000E5B62">
            <w:pPr>
              <w:jc w:val="center"/>
              <w:cnfStyle w:val="100000000000"/>
              <w:rPr>
                <w:rFonts w:ascii="Arial" w:eastAsia="Times New Roman" w:hAnsi="Arial" w:cs="Arial"/>
                <w:sz w:val="18"/>
                <w:szCs w:val="20"/>
                <w:lang w:eastAsia="es-CO"/>
              </w:rPr>
            </w:pPr>
            <w:r w:rsidRPr="00C362A1">
              <w:rPr>
                <w:rFonts w:ascii="Arial" w:eastAsia="Times New Roman" w:hAnsi="Arial" w:cs="Arial"/>
                <w:sz w:val="18"/>
                <w:szCs w:val="20"/>
                <w:lang w:eastAsia="es-CO"/>
              </w:rPr>
              <w:t>económico</w:t>
            </w:r>
          </w:p>
          <w:p w:rsidR="000E5B62" w:rsidRPr="00C362A1" w:rsidRDefault="000E5B62" w:rsidP="000E5B62">
            <w:pPr>
              <w:jc w:val="center"/>
              <w:cnfStyle w:val="100000000000"/>
              <w:rPr>
                <w:rFonts w:ascii="Arial" w:eastAsia="Calibri" w:hAnsi="Arial" w:cs="Arial"/>
                <w:sz w:val="18"/>
                <w:szCs w:val="20"/>
              </w:rPr>
            </w:pPr>
          </w:p>
        </w:tc>
        <w:tc>
          <w:tcPr>
            <w:tcW w:w="1241" w:type="dxa"/>
            <w:tcBorders>
              <w:top w:val="none" w:sz="0" w:space="0" w:color="auto"/>
              <w:left w:val="none" w:sz="0" w:space="0" w:color="auto"/>
              <w:bottom w:val="none" w:sz="0" w:space="0" w:color="auto"/>
              <w:right w:val="none" w:sz="0" w:space="0" w:color="auto"/>
            </w:tcBorders>
            <w:vAlign w:val="center"/>
          </w:tcPr>
          <w:p w:rsidR="000E5B62" w:rsidRDefault="000E5B62" w:rsidP="000E5B62">
            <w:pPr>
              <w:jc w:val="center"/>
              <w:cnfStyle w:val="100000000000"/>
              <w:rPr>
                <w:rFonts w:ascii="Arial" w:eastAsia="Times New Roman" w:hAnsi="Arial" w:cs="Arial"/>
                <w:b w:val="0"/>
                <w:sz w:val="18"/>
                <w:szCs w:val="20"/>
                <w:lang w:eastAsia="es-CO"/>
              </w:rPr>
            </w:pPr>
          </w:p>
          <w:p w:rsidR="000E5B62" w:rsidRPr="00C362A1" w:rsidRDefault="000E5B62" w:rsidP="000E5B62">
            <w:pPr>
              <w:jc w:val="center"/>
              <w:cnfStyle w:val="100000000000"/>
              <w:rPr>
                <w:rFonts w:ascii="Arial" w:eastAsia="Times New Roman" w:hAnsi="Arial" w:cs="Arial"/>
                <w:sz w:val="18"/>
                <w:szCs w:val="20"/>
                <w:lang w:eastAsia="es-CO"/>
              </w:rPr>
            </w:pPr>
            <w:r w:rsidRPr="00C362A1">
              <w:rPr>
                <w:rFonts w:ascii="Arial" w:eastAsia="Times New Roman" w:hAnsi="Arial" w:cs="Arial"/>
                <w:sz w:val="18"/>
                <w:szCs w:val="20"/>
                <w:lang w:eastAsia="es-CO"/>
              </w:rPr>
              <w:t>Conflictos</w:t>
            </w:r>
          </w:p>
          <w:p w:rsidR="000E5B62" w:rsidRPr="00C362A1" w:rsidRDefault="000E5B62" w:rsidP="000E5B62">
            <w:pPr>
              <w:jc w:val="center"/>
              <w:cnfStyle w:val="100000000000"/>
              <w:rPr>
                <w:rFonts w:ascii="Arial" w:eastAsia="Calibri" w:hAnsi="Arial" w:cs="Arial"/>
                <w:sz w:val="18"/>
                <w:szCs w:val="20"/>
              </w:rPr>
            </w:pPr>
          </w:p>
        </w:tc>
        <w:tc>
          <w:tcPr>
            <w:tcW w:w="1418" w:type="dxa"/>
            <w:tcBorders>
              <w:top w:val="none" w:sz="0" w:space="0" w:color="auto"/>
              <w:left w:val="none" w:sz="0" w:space="0" w:color="auto"/>
              <w:bottom w:val="none" w:sz="0" w:space="0" w:color="auto"/>
              <w:right w:val="none" w:sz="0" w:space="0" w:color="auto"/>
            </w:tcBorders>
            <w:vAlign w:val="center"/>
          </w:tcPr>
          <w:p w:rsidR="000E5B62" w:rsidRDefault="000E5B62" w:rsidP="000E5B62">
            <w:pPr>
              <w:jc w:val="center"/>
              <w:cnfStyle w:val="100000000000"/>
              <w:rPr>
                <w:rFonts w:ascii="Arial" w:eastAsia="Times New Roman" w:hAnsi="Arial" w:cs="Arial"/>
                <w:b w:val="0"/>
                <w:sz w:val="18"/>
                <w:szCs w:val="20"/>
                <w:lang w:eastAsia="es-CO"/>
              </w:rPr>
            </w:pPr>
          </w:p>
          <w:p w:rsidR="000E5B62" w:rsidRPr="00C362A1" w:rsidRDefault="000E5B62" w:rsidP="000E5B62">
            <w:pPr>
              <w:jc w:val="center"/>
              <w:cnfStyle w:val="100000000000"/>
              <w:rPr>
                <w:rFonts w:ascii="Arial" w:eastAsia="Times New Roman" w:hAnsi="Arial" w:cs="Arial"/>
                <w:sz w:val="18"/>
                <w:szCs w:val="20"/>
                <w:lang w:eastAsia="es-CO"/>
              </w:rPr>
            </w:pPr>
            <w:r w:rsidRPr="00C362A1">
              <w:rPr>
                <w:rFonts w:ascii="Arial" w:eastAsia="Times New Roman" w:hAnsi="Arial" w:cs="Arial"/>
                <w:sz w:val="18"/>
                <w:szCs w:val="20"/>
                <w:lang w:eastAsia="es-CO"/>
              </w:rPr>
              <w:t>Organización</w:t>
            </w:r>
          </w:p>
          <w:p w:rsidR="000E5B62" w:rsidRPr="00C362A1" w:rsidRDefault="000E5B62" w:rsidP="000E5B62">
            <w:pPr>
              <w:jc w:val="center"/>
              <w:cnfStyle w:val="100000000000"/>
              <w:rPr>
                <w:rFonts w:ascii="Arial" w:eastAsia="Times New Roman" w:hAnsi="Arial" w:cs="Arial"/>
                <w:sz w:val="18"/>
                <w:szCs w:val="20"/>
                <w:lang w:eastAsia="es-CO"/>
              </w:rPr>
            </w:pPr>
            <w:r w:rsidRPr="00C362A1">
              <w:rPr>
                <w:rFonts w:ascii="Arial" w:eastAsia="Times New Roman" w:hAnsi="Arial" w:cs="Arial"/>
                <w:sz w:val="18"/>
                <w:szCs w:val="20"/>
                <w:lang w:eastAsia="es-CO"/>
              </w:rPr>
              <w:t>Social</w:t>
            </w:r>
          </w:p>
          <w:p w:rsidR="000E5B62" w:rsidRPr="00C362A1" w:rsidRDefault="000E5B62" w:rsidP="000E5B62">
            <w:pPr>
              <w:jc w:val="center"/>
              <w:cnfStyle w:val="100000000000"/>
              <w:rPr>
                <w:rFonts w:ascii="Arial" w:eastAsia="Calibri" w:hAnsi="Arial" w:cs="Arial"/>
                <w:sz w:val="18"/>
                <w:szCs w:val="20"/>
              </w:rPr>
            </w:pPr>
          </w:p>
        </w:tc>
        <w:tc>
          <w:tcPr>
            <w:tcW w:w="1417" w:type="dxa"/>
            <w:tcBorders>
              <w:top w:val="none" w:sz="0" w:space="0" w:color="auto"/>
              <w:left w:val="none" w:sz="0" w:space="0" w:color="auto"/>
              <w:bottom w:val="none" w:sz="0" w:space="0" w:color="auto"/>
              <w:right w:val="none" w:sz="0" w:space="0" w:color="auto"/>
            </w:tcBorders>
            <w:vAlign w:val="center"/>
          </w:tcPr>
          <w:p w:rsidR="000E5B62" w:rsidRPr="00C362A1" w:rsidRDefault="000E5B62" w:rsidP="000E5B62">
            <w:pPr>
              <w:jc w:val="center"/>
              <w:cnfStyle w:val="100000000000"/>
              <w:rPr>
                <w:rFonts w:ascii="Arial" w:eastAsia="Times New Roman" w:hAnsi="Arial" w:cs="Arial"/>
                <w:sz w:val="18"/>
                <w:szCs w:val="20"/>
                <w:lang w:eastAsia="es-CO"/>
              </w:rPr>
            </w:pPr>
            <w:r w:rsidRPr="00C362A1">
              <w:rPr>
                <w:rFonts w:ascii="Arial" w:eastAsia="Times New Roman" w:hAnsi="Arial" w:cs="Arial"/>
                <w:sz w:val="18"/>
                <w:szCs w:val="20"/>
                <w:lang w:eastAsia="es-CO"/>
              </w:rPr>
              <w:t>Poblaciones</w:t>
            </w:r>
          </w:p>
          <w:p w:rsidR="000E5B62" w:rsidRPr="00C362A1" w:rsidRDefault="000E5B62" w:rsidP="000E5B62">
            <w:pPr>
              <w:jc w:val="center"/>
              <w:cnfStyle w:val="100000000000"/>
              <w:rPr>
                <w:rFonts w:ascii="Arial" w:eastAsia="Times New Roman" w:hAnsi="Arial" w:cs="Arial"/>
                <w:sz w:val="18"/>
                <w:szCs w:val="20"/>
                <w:lang w:eastAsia="es-CO"/>
              </w:rPr>
            </w:pPr>
            <w:r w:rsidRPr="00C362A1">
              <w:rPr>
                <w:rFonts w:ascii="Arial" w:eastAsia="Times New Roman" w:hAnsi="Arial" w:cs="Arial"/>
                <w:sz w:val="18"/>
                <w:szCs w:val="20"/>
                <w:lang w:eastAsia="es-CO"/>
              </w:rPr>
              <w:t>Vulnerables</w:t>
            </w:r>
          </w:p>
          <w:p w:rsidR="000E5B62" w:rsidRPr="00C362A1" w:rsidRDefault="000E5B62" w:rsidP="000E5B62">
            <w:pPr>
              <w:jc w:val="center"/>
              <w:cnfStyle w:val="100000000000"/>
              <w:rPr>
                <w:rFonts w:ascii="Arial" w:eastAsia="Calibri" w:hAnsi="Arial" w:cs="Arial"/>
                <w:sz w:val="18"/>
                <w:szCs w:val="20"/>
              </w:rPr>
            </w:pPr>
          </w:p>
        </w:tc>
        <w:tc>
          <w:tcPr>
            <w:tcW w:w="1551" w:type="dxa"/>
            <w:tcBorders>
              <w:top w:val="none" w:sz="0" w:space="0" w:color="auto"/>
              <w:left w:val="none" w:sz="0" w:space="0" w:color="auto"/>
              <w:bottom w:val="none" w:sz="0" w:space="0" w:color="auto"/>
              <w:right w:val="none" w:sz="0" w:space="0" w:color="auto"/>
            </w:tcBorders>
            <w:vAlign w:val="center"/>
          </w:tcPr>
          <w:p w:rsidR="000E5B62" w:rsidRPr="00C362A1" w:rsidRDefault="000E5B62" w:rsidP="000E5B62">
            <w:pPr>
              <w:jc w:val="center"/>
              <w:cnfStyle w:val="100000000000"/>
              <w:rPr>
                <w:rFonts w:ascii="Arial" w:eastAsia="Calibri" w:hAnsi="Arial" w:cs="Arial"/>
                <w:sz w:val="18"/>
                <w:szCs w:val="20"/>
              </w:rPr>
            </w:pPr>
            <w:r w:rsidRPr="00C362A1">
              <w:rPr>
                <w:rFonts w:ascii="Arial" w:eastAsia="Times New Roman" w:hAnsi="Arial" w:cs="Arial"/>
                <w:sz w:val="18"/>
                <w:szCs w:val="20"/>
                <w:lang w:eastAsia="es-CO"/>
              </w:rPr>
              <w:t>Com</w:t>
            </w:r>
            <w:r>
              <w:rPr>
                <w:rFonts w:ascii="Arial" w:eastAsia="Times New Roman" w:hAnsi="Arial" w:cs="Arial"/>
                <w:b w:val="0"/>
                <w:sz w:val="18"/>
                <w:szCs w:val="20"/>
                <w:lang w:eastAsia="es-CO"/>
              </w:rPr>
              <w:t>u</w:t>
            </w:r>
            <w:r w:rsidRPr="00C362A1">
              <w:rPr>
                <w:rFonts w:ascii="Arial" w:eastAsia="Times New Roman" w:hAnsi="Arial" w:cs="Arial"/>
                <w:sz w:val="18"/>
                <w:szCs w:val="20"/>
                <w:lang w:eastAsia="es-CO"/>
              </w:rPr>
              <w:t>nicación</w:t>
            </w:r>
          </w:p>
        </w:tc>
        <w:tc>
          <w:tcPr>
            <w:tcW w:w="1142" w:type="dxa"/>
            <w:tcBorders>
              <w:top w:val="none" w:sz="0" w:space="0" w:color="auto"/>
              <w:left w:val="none" w:sz="0" w:space="0" w:color="auto"/>
              <w:bottom w:val="none" w:sz="0" w:space="0" w:color="auto"/>
              <w:right w:val="none" w:sz="0" w:space="0" w:color="auto"/>
            </w:tcBorders>
            <w:vAlign w:val="center"/>
          </w:tcPr>
          <w:p w:rsidR="000E5B62" w:rsidRPr="00C362A1" w:rsidRDefault="000E5B62" w:rsidP="000E5B62">
            <w:pPr>
              <w:jc w:val="center"/>
              <w:cnfStyle w:val="100000000000"/>
              <w:rPr>
                <w:rFonts w:ascii="Arial" w:eastAsia="Calibri" w:hAnsi="Arial" w:cs="Arial"/>
                <w:sz w:val="18"/>
                <w:szCs w:val="20"/>
              </w:rPr>
            </w:pPr>
            <w:r w:rsidRPr="00C362A1">
              <w:rPr>
                <w:rFonts w:ascii="Arial" w:eastAsia="Times New Roman" w:hAnsi="Arial" w:cs="Arial"/>
                <w:sz w:val="18"/>
                <w:szCs w:val="20"/>
                <w:lang w:eastAsia="es-CO"/>
              </w:rPr>
              <w:t>S</w:t>
            </w:r>
            <w:r>
              <w:rPr>
                <w:rFonts w:ascii="Arial" w:eastAsia="Times New Roman" w:hAnsi="Arial" w:cs="Arial"/>
                <w:b w:val="0"/>
                <w:sz w:val="18"/>
                <w:szCs w:val="20"/>
                <w:lang w:eastAsia="es-CO"/>
              </w:rPr>
              <w:t>a</w:t>
            </w:r>
            <w:r w:rsidRPr="00C362A1">
              <w:rPr>
                <w:rFonts w:ascii="Arial" w:eastAsia="Times New Roman" w:hAnsi="Arial" w:cs="Arial"/>
                <w:sz w:val="18"/>
                <w:szCs w:val="20"/>
                <w:lang w:eastAsia="es-CO"/>
              </w:rPr>
              <w:t>lu</w:t>
            </w:r>
            <w:r>
              <w:rPr>
                <w:rFonts w:ascii="Arial" w:eastAsia="Times New Roman" w:hAnsi="Arial" w:cs="Arial"/>
                <w:b w:val="0"/>
                <w:sz w:val="18"/>
                <w:szCs w:val="20"/>
                <w:lang w:eastAsia="es-CO"/>
              </w:rPr>
              <w:t>d</w:t>
            </w:r>
          </w:p>
        </w:tc>
        <w:tc>
          <w:tcPr>
            <w:tcW w:w="1242" w:type="dxa"/>
            <w:tcBorders>
              <w:top w:val="none" w:sz="0" w:space="0" w:color="auto"/>
              <w:left w:val="none" w:sz="0" w:space="0" w:color="auto"/>
              <w:bottom w:val="none" w:sz="0" w:space="0" w:color="auto"/>
              <w:right w:val="none" w:sz="0" w:space="0" w:color="auto"/>
            </w:tcBorders>
            <w:vAlign w:val="center"/>
          </w:tcPr>
          <w:p w:rsidR="000E5B62" w:rsidRDefault="000E5B62" w:rsidP="000E5B62">
            <w:pPr>
              <w:jc w:val="center"/>
              <w:cnfStyle w:val="100000000000"/>
              <w:rPr>
                <w:rFonts w:ascii="Arial" w:eastAsia="Times New Roman" w:hAnsi="Arial" w:cs="Arial"/>
                <w:b w:val="0"/>
                <w:sz w:val="18"/>
                <w:szCs w:val="20"/>
                <w:lang w:eastAsia="es-CO"/>
              </w:rPr>
            </w:pPr>
          </w:p>
          <w:p w:rsidR="000E5B62" w:rsidRPr="00C362A1" w:rsidRDefault="000E5B62" w:rsidP="000E5B62">
            <w:pPr>
              <w:jc w:val="center"/>
              <w:cnfStyle w:val="100000000000"/>
              <w:rPr>
                <w:rFonts w:ascii="Arial" w:eastAsia="Times New Roman" w:hAnsi="Arial" w:cs="Arial"/>
                <w:sz w:val="18"/>
                <w:szCs w:val="20"/>
                <w:lang w:eastAsia="es-CO"/>
              </w:rPr>
            </w:pPr>
            <w:r w:rsidRPr="00C362A1">
              <w:rPr>
                <w:rFonts w:ascii="Arial" w:eastAsia="Times New Roman" w:hAnsi="Arial" w:cs="Arial"/>
                <w:sz w:val="18"/>
                <w:szCs w:val="20"/>
                <w:lang w:eastAsia="es-CO"/>
              </w:rPr>
              <w:t>Político</w:t>
            </w:r>
          </w:p>
          <w:p w:rsidR="000E5B62" w:rsidRPr="00C362A1" w:rsidRDefault="000E5B62" w:rsidP="000E5B62">
            <w:pPr>
              <w:jc w:val="center"/>
              <w:cnfStyle w:val="100000000000"/>
              <w:rPr>
                <w:rFonts w:ascii="Arial" w:eastAsia="Calibri" w:hAnsi="Arial" w:cs="Arial"/>
                <w:sz w:val="18"/>
                <w:szCs w:val="20"/>
              </w:rPr>
            </w:pPr>
          </w:p>
        </w:tc>
        <w:tc>
          <w:tcPr>
            <w:tcW w:w="1594" w:type="dxa"/>
            <w:tcBorders>
              <w:top w:val="none" w:sz="0" w:space="0" w:color="auto"/>
              <w:left w:val="none" w:sz="0" w:space="0" w:color="auto"/>
              <w:bottom w:val="none" w:sz="0" w:space="0" w:color="auto"/>
              <w:right w:val="none" w:sz="0" w:space="0" w:color="auto"/>
            </w:tcBorders>
            <w:vAlign w:val="center"/>
          </w:tcPr>
          <w:p w:rsidR="000E5B62" w:rsidRPr="00C362A1" w:rsidRDefault="000E5B62" w:rsidP="000E5B62">
            <w:pPr>
              <w:jc w:val="center"/>
              <w:cnfStyle w:val="100000000000"/>
              <w:rPr>
                <w:rFonts w:ascii="Arial" w:eastAsia="Times New Roman" w:hAnsi="Arial" w:cs="Arial"/>
                <w:sz w:val="18"/>
                <w:szCs w:val="20"/>
                <w:lang w:eastAsia="es-CO"/>
              </w:rPr>
            </w:pPr>
            <w:r w:rsidRPr="00C362A1">
              <w:rPr>
                <w:rFonts w:ascii="Arial" w:eastAsia="Times New Roman" w:hAnsi="Arial" w:cs="Arial"/>
                <w:sz w:val="18"/>
                <w:szCs w:val="20"/>
                <w:lang w:eastAsia="es-CO"/>
              </w:rPr>
              <w:t>Inclusión</w:t>
            </w:r>
          </w:p>
          <w:p w:rsidR="000E5B62" w:rsidRPr="00C362A1" w:rsidRDefault="000E5B62" w:rsidP="000E5B62">
            <w:pPr>
              <w:jc w:val="center"/>
              <w:cnfStyle w:val="100000000000"/>
              <w:rPr>
                <w:rFonts w:ascii="Arial" w:eastAsia="Times New Roman" w:hAnsi="Arial" w:cs="Arial"/>
                <w:sz w:val="18"/>
                <w:szCs w:val="20"/>
                <w:lang w:eastAsia="es-CO"/>
              </w:rPr>
            </w:pPr>
            <w:r w:rsidRPr="00C362A1">
              <w:rPr>
                <w:rFonts w:ascii="Arial" w:eastAsia="Times New Roman" w:hAnsi="Arial" w:cs="Arial"/>
                <w:sz w:val="18"/>
                <w:szCs w:val="20"/>
                <w:lang w:eastAsia="es-CO"/>
              </w:rPr>
              <w:t>Social</w:t>
            </w:r>
          </w:p>
          <w:p w:rsidR="000E5B62" w:rsidRPr="00C362A1" w:rsidRDefault="000E5B62" w:rsidP="000E5B62">
            <w:pPr>
              <w:jc w:val="center"/>
              <w:cnfStyle w:val="100000000000"/>
              <w:rPr>
                <w:rFonts w:ascii="Arial" w:eastAsia="Calibri" w:hAnsi="Arial" w:cs="Arial"/>
                <w:sz w:val="18"/>
                <w:szCs w:val="20"/>
              </w:rPr>
            </w:pPr>
          </w:p>
        </w:tc>
        <w:tc>
          <w:tcPr>
            <w:tcW w:w="1418" w:type="dxa"/>
            <w:tcBorders>
              <w:top w:val="none" w:sz="0" w:space="0" w:color="auto"/>
              <w:left w:val="none" w:sz="0" w:space="0" w:color="auto"/>
              <w:bottom w:val="none" w:sz="0" w:space="0" w:color="auto"/>
              <w:right w:val="none" w:sz="0" w:space="0" w:color="auto"/>
            </w:tcBorders>
            <w:vAlign w:val="center"/>
          </w:tcPr>
          <w:p w:rsidR="000E5B62" w:rsidRDefault="000E5B62" w:rsidP="000E5B62">
            <w:pPr>
              <w:jc w:val="center"/>
              <w:cnfStyle w:val="100000000000"/>
              <w:rPr>
                <w:rFonts w:ascii="Arial" w:eastAsia="Times New Roman" w:hAnsi="Arial" w:cs="Arial"/>
                <w:b w:val="0"/>
                <w:sz w:val="18"/>
                <w:szCs w:val="20"/>
                <w:lang w:eastAsia="es-CO"/>
              </w:rPr>
            </w:pPr>
          </w:p>
          <w:p w:rsidR="000E5B62" w:rsidRPr="00C362A1" w:rsidRDefault="000E5B62" w:rsidP="000E5B62">
            <w:pPr>
              <w:jc w:val="center"/>
              <w:cnfStyle w:val="100000000000"/>
              <w:rPr>
                <w:rFonts w:ascii="Arial" w:eastAsia="Times New Roman" w:hAnsi="Arial" w:cs="Arial"/>
                <w:sz w:val="18"/>
                <w:szCs w:val="20"/>
                <w:lang w:eastAsia="es-CO"/>
              </w:rPr>
            </w:pPr>
            <w:r w:rsidRPr="00C362A1">
              <w:rPr>
                <w:rFonts w:ascii="Arial" w:eastAsia="Times New Roman" w:hAnsi="Arial" w:cs="Arial"/>
                <w:sz w:val="18"/>
                <w:szCs w:val="20"/>
                <w:lang w:eastAsia="es-CO"/>
              </w:rPr>
              <w:t>Ambiental</w:t>
            </w:r>
          </w:p>
          <w:p w:rsidR="000E5B62" w:rsidRPr="00C362A1" w:rsidRDefault="000E5B62" w:rsidP="000E5B62">
            <w:pPr>
              <w:jc w:val="center"/>
              <w:cnfStyle w:val="100000000000"/>
              <w:rPr>
                <w:rFonts w:ascii="Arial" w:eastAsia="Calibri" w:hAnsi="Arial" w:cs="Arial"/>
                <w:sz w:val="18"/>
                <w:szCs w:val="20"/>
              </w:rPr>
            </w:pPr>
          </w:p>
        </w:tc>
      </w:tr>
      <w:tr w:rsidR="000E5B62" w:rsidRPr="00C362A1" w:rsidTr="000E5B62">
        <w:trPr>
          <w:cnfStyle w:val="000000100000"/>
        </w:trPr>
        <w:tc>
          <w:tcPr>
            <w:cnfStyle w:val="001000000000"/>
            <w:tcW w:w="1276" w:type="dxa"/>
            <w:tcBorders>
              <w:top w:val="none" w:sz="0" w:space="0" w:color="auto"/>
              <w:left w:val="none" w:sz="0" w:space="0" w:color="auto"/>
              <w:bottom w:val="none" w:sz="0" w:space="0" w:color="auto"/>
              <w:right w:val="none" w:sz="0" w:space="0" w:color="auto"/>
            </w:tcBorders>
            <w:vAlign w:val="center"/>
          </w:tcPr>
          <w:p w:rsidR="000E5B62" w:rsidRPr="00C362A1" w:rsidRDefault="000E5B62" w:rsidP="000E5B62">
            <w:pPr>
              <w:jc w:val="center"/>
              <w:rPr>
                <w:rFonts w:ascii="Arial" w:eastAsia="Times New Roman" w:hAnsi="Arial" w:cs="Arial"/>
                <w:noProof/>
                <w:sz w:val="18"/>
                <w:szCs w:val="20"/>
                <w:lang w:eastAsia="es-CO"/>
              </w:rPr>
            </w:pPr>
            <w:r w:rsidRPr="00C362A1">
              <w:rPr>
                <w:rFonts w:ascii="Arial" w:eastAsia="Times New Roman" w:hAnsi="Arial" w:cs="Arial"/>
                <w:noProof/>
                <w:sz w:val="18"/>
                <w:szCs w:val="20"/>
                <w:lang w:eastAsia="es-CO"/>
              </w:rPr>
              <w:t>Candelaria-Valle</w:t>
            </w:r>
          </w:p>
        </w:tc>
        <w:tc>
          <w:tcPr>
            <w:tcW w:w="1667"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Calibri" w:hAnsi="Arial" w:cs="Arial"/>
                <w:sz w:val="18"/>
                <w:szCs w:val="20"/>
              </w:rPr>
              <w:t>El sector educativo del municipio de Candelaria Dispone de ocho establecimientos de educación media, siete escuelas de enseñanza primaria en el perímetro urbano y veintidós rurales</w:t>
            </w:r>
          </w:p>
        </w:tc>
        <w:tc>
          <w:tcPr>
            <w:tcW w:w="1027" w:type="dxa"/>
            <w:tcBorders>
              <w:top w:val="none" w:sz="0" w:space="0" w:color="auto"/>
              <w:left w:val="none" w:sz="0" w:space="0" w:color="auto"/>
              <w:bottom w:val="none" w:sz="0" w:space="0" w:color="auto"/>
              <w:right w:val="none" w:sz="0" w:space="0" w:color="auto"/>
            </w:tcBorders>
          </w:tcPr>
          <w:p w:rsidR="000E5B62" w:rsidRPr="00C362A1" w:rsidRDefault="000E5B62" w:rsidP="000E5B62">
            <w:pPr>
              <w:spacing w:before="100" w:beforeAutospacing="1" w:after="100" w:afterAutospacing="1"/>
              <w:jc w:val="both"/>
              <w:cnfStyle w:val="000000100000"/>
              <w:rPr>
                <w:rFonts w:ascii="Arial" w:eastAsia="Times New Roman" w:hAnsi="Arial" w:cs="Arial"/>
                <w:sz w:val="18"/>
                <w:szCs w:val="20"/>
                <w:lang w:eastAsia="es-CO"/>
              </w:rPr>
            </w:pPr>
            <w:r w:rsidRPr="00C362A1">
              <w:rPr>
                <w:rFonts w:ascii="Arial" w:eastAsia="Times New Roman" w:hAnsi="Arial" w:cs="Arial"/>
                <w:sz w:val="18"/>
                <w:szCs w:val="20"/>
                <w:lang w:eastAsia="es-CO"/>
              </w:rPr>
              <w:t>La Caña de azúcar, y en menor proporción cítricos, verduras, maíz, millo, cacao, Soya, Café, Algodón, Ladrillo, Ladrillo farol, piso o tablones y teja, todo de barro cocido</w:t>
            </w:r>
          </w:p>
          <w:p w:rsidR="000E5B62" w:rsidRPr="00C362A1" w:rsidRDefault="000E5B62" w:rsidP="000E5B62">
            <w:pPr>
              <w:jc w:val="both"/>
              <w:cnfStyle w:val="000000100000"/>
              <w:rPr>
                <w:rFonts w:ascii="Arial" w:eastAsia="Times New Roman" w:hAnsi="Arial" w:cs="Arial"/>
                <w:sz w:val="18"/>
                <w:szCs w:val="20"/>
                <w:lang w:eastAsia="es-CO"/>
              </w:rPr>
            </w:pPr>
          </w:p>
        </w:tc>
        <w:tc>
          <w:tcPr>
            <w:tcW w:w="1241"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Calibri" w:hAnsi="Arial" w:cs="Arial"/>
                <w:sz w:val="18"/>
                <w:szCs w:val="20"/>
              </w:rPr>
              <w:t>Los principales problemas que tienen los habitantes de Candelaria, se deben a que no les llega a casa e</w:t>
            </w:r>
            <w:r w:rsidRPr="00C362A1">
              <w:rPr>
                <w:rFonts w:ascii="Arial" w:eastAsia="Times New Roman" w:hAnsi="Arial" w:cs="Arial"/>
                <w:sz w:val="18"/>
                <w:szCs w:val="20"/>
                <w:lang w:eastAsia="es-CO"/>
              </w:rPr>
              <w:t>l agua potable y la construcción de la vía Cali-Candelaria</w:t>
            </w:r>
          </w:p>
        </w:tc>
        <w:tc>
          <w:tcPr>
            <w:tcW w:w="1418"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Calibri" w:hAnsi="Arial" w:cs="Arial"/>
                <w:sz w:val="18"/>
                <w:szCs w:val="20"/>
              </w:rPr>
              <w:t xml:space="preserve">Pertenece a la diócesis y al circuito de registro de </w:t>
            </w:r>
            <w:hyperlink r:id="rId7" w:tooltip="Palmira" w:history="1">
              <w:r w:rsidRPr="00C362A1">
                <w:rPr>
                  <w:rFonts w:ascii="Arial" w:eastAsia="Calibri" w:hAnsi="Arial" w:cs="Arial"/>
                  <w:sz w:val="18"/>
                  <w:szCs w:val="20"/>
                </w:rPr>
                <w:t>Palmira</w:t>
              </w:r>
            </w:hyperlink>
            <w:r w:rsidRPr="00C362A1">
              <w:rPr>
                <w:rFonts w:ascii="Arial" w:eastAsia="Calibri" w:hAnsi="Arial" w:cs="Arial"/>
                <w:sz w:val="18"/>
                <w:szCs w:val="20"/>
              </w:rPr>
              <w:t xml:space="preserve">, al distrito judicial de </w:t>
            </w:r>
            <w:hyperlink r:id="rId8" w:tooltip="Cali" w:history="1">
              <w:r w:rsidRPr="00C362A1">
                <w:rPr>
                  <w:rFonts w:ascii="Arial" w:eastAsia="Calibri" w:hAnsi="Arial" w:cs="Arial"/>
                  <w:sz w:val="18"/>
                  <w:szCs w:val="20"/>
                </w:rPr>
                <w:t>Cali</w:t>
              </w:r>
            </w:hyperlink>
            <w:r w:rsidRPr="00C362A1">
              <w:rPr>
                <w:rFonts w:ascii="Arial" w:eastAsia="Calibri" w:hAnsi="Arial" w:cs="Arial"/>
                <w:sz w:val="18"/>
                <w:szCs w:val="20"/>
              </w:rPr>
              <w:t xml:space="preserve">, es cabecera notarial y hace parte de la circunscripción electoral de </w:t>
            </w:r>
            <w:hyperlink r:id="rId9" w:tooltip="Valle del Cauca" w:history="1">
              <w:r w:rsidRPr="00C362A1">
                <w:rPr>
                  <w:rFonts w:ascii="Arial" w:eastAsia="Calibri" w:hAnsi="Arial" w:cs="Arial"/>
                  <w:sz w:val="18"/>
                  <w:szCs w:val="20"/>
                </w:rPr>
                <w:t>Valle del Cauca</w:t>
              </w:r>
            </w:hyperlink>
            <w:r w:rsidRPr="00C362A1">
              <w:rPr>
                <w:rFonts w:ascii="Arial" w:eastAsia="Calibri" w:hAnsi="Arial" w:cs="Arial"/>
                <w:sz w:val="18"/>
                <w:szCs w:val="20"/>
              </w:rPr>
              <w:t xml:space="preserve">. </w:t>
            </w:r>
            <w:proofErr w:type="gramStart"/>
            <w:r w:rsidRPr="00C362A1">
              <w:rPr>
                <w:rFonts w:ascii="Arial" w:eastAsia="Calibri" w:hAnsi="Arial" w:cs="Arial"/>
                <w:sz w:val="18"/>
                <w:szCs w:val="20"/>
              </w:rPr>
              <w:t>cuenta</w:t>
            </w:r>
            <w:proofErr w:type="gramEnd"/>
            <w:r w:rsidRPr="00C362A1">
              <w:rPr>
                <w:rFonts w:ascii="Arial" w:eastAsia="Calibri" w:hAnsi="Arial" w:cs="Arial"/>
                <w:sz w:val="18"/>
                <w:szCs w:val="20"/>
              </w:rPr>
              <w:t xml:space="preserve"> con varios corregimientos entre ellos Gorgona,</w:t>
            </w:r>
            <w:r>
              <w:rPr>
                <w:rFonts w:ascii="Arial" w:eastAsia="Calibri" w:hAnsi="Arial" w:cs="Arial"/>
                <w:sz w:val="18"/>
                <w:szCs w:val="20"/>
              </w:rPr>
              <w:t xml:space="preserve"> </w:t>
            </w:r>
            <w:proofErr w:type="spellStart"/>
            <w:r w:rsidRPr="00C362A1">
              <w:rPr>
                <w:rFonts w:ascii="Arial" w:eastAsia="Calibri" w:hAnsi="Arial" w:cs="Arial"/>
                <w:sz w:val="18"/>
                <w:szCs w:val="20"/>
              </w:rPr>
              <w:t>Buchitolo</w:t>
            </w:r>
            <w:proofErr w:type="spellEnd"/>
            <w:r w:rsidRPr="00C362A1">
              <w:rPr>
                <w:rFonts w:ascii="Arial" w:eastAsia="Calibri" w:hAnsi="Arial" w:cs="Arial"/>
                <w:sz w:val="18"/>
                <w:szCs w:val="20"/>
              </w:rPr>
              <w:t>,</w:t>
            </w:r>
            <w:r>
              <w:rPr>
                <w:rFonts w:ascii="Arial" w:eastAsia="Calibri" w:hAnsi="Arial" w:cs="Arial"/>
                <w:sz w:val="18"/>
                <w:szCs w:val="20"/>
              </w:rPr>
              <w:t xml:space="preserve"> </w:t>
            </w:r>
            <w:r w:rsidRPr="00C362A1">
              <w:rPr>
                <w:rFonts w:ascii="Arial" w:eastAsia="Calibri" w:hAnsi="Arial" w:cs="Arial"/>
                <w:sz w:val="18"/>
                <w:szCs w:val="20"/>
              </w:rPr>
              <w:t>Carmelo,</w:t>
            </w:r>
            <w:r>
              <w:rPr>
                <w:rFonts w:ascii="Arial" w:eastAsia="Calibri" w:hAnsi="Arial" w:cs="Arial"/>
                <w:sz w:val="18"/>
                <w:szCs w:val="20"/>
              </w:rPr>
              <w:t xml:space="preserve"> </w:t>
            </w:r>
            <w:r w:rsidRPr="00C362A1">
              <w:rPr>
                <w:rFonts w:ascii="Arial" w:eastAsia="Calibri" w:hAnsi="Arial" w:cs="Arial"/>
                <w:sz w:val="18"/>
                <w:szCs w:val="20"/>
              </w:rPr>
              <w:t xml:space="preserve">San </w:t>
            </w:r>
            <w:proofErr w:type="spellStart"/>
            <w:r w:rsidRPr="00C362A1">
              <w:rPr>
                <w:rFonts w:ascii="Arial" w:eastAsia="Calibri" w:hAnsi="Arial" w:cs="Arial"/>
                <w:sz w:val="18"/>
                <w:szCs w:val="20"/>
              </w:rPr>
              <w:t>Juaquin</w:t>
            </w:r>
            <w:proofErr w:type="spellEnd"/>
            <w:r w:rsidRPr="00C362A1">
              <w:rPr>
                <w:rFonts w:ascii="Arial" w:eastAsia="Calibri" w:hAnsi="Arial" w:cs="Arial"/>
                <w:sz w:val="18"/>
                <w:szCs w:val="20"/>
              </w:rPr>
              <w:t>,</w:t>
            </w:r>
            <w:r>
              <w:rPr>
                <w:rFonts w:ascii="Arial" w:eastAsia="Calibri" w:hAnsi="Arial" w:cs="Arial"/>
                <w:sz w:val="18"/>
                <w:szCs w:val="20"/>
              </w:rPr>
              <w:t xml:space="preserve"> </w:t>
            </w:r>
            <w:r w:rsidRPr="00C362A1">
              <w:rPr>
                <w:rFonts w:ascii="Arial" w:eastAsia="Calibri" w:hAnsi="Arial" w:cs="Arial"/>
                <w:sz w:val="18"/>
                <w:szCs w:val="20"/>
              </w:rPr>
              <w:t>Tiple</w:t>
            </w:r>
            <w:r>
              <w:rPr>
                <w:rFonts w:ascii="Arial" w:eastAsia="Calibri" w:hAnsi="Arial" w:cs="Arial"/>
                <w:sz w:val="18"/>
                <w:szCs w:val="20"/>
              </w:rPr>
              <w:t>.</w:t>
            </w:r>
          </w:p>
        </w:tc>
        <w:tc>
          <w:tcPr>
            <w:tcW w:w="1417"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Calibri" w:hAnsi="Arial" w:cs="Arial"/>
                <w:sz w:val="18"/>
                <w:szCs w:val="20"/>
              </w:rPr>
              <w:t xml:space="preserve">En el sector del </w:t>
            </w:r>
            <w:proofErr w:type="spellStart"/>
            <w:r w:rsidRPr="00C362A1">
              <w:rPr>
                <w:rFonts w:ascii="Arial" w:eastAsia="Calibri" w:hAnsi="Arial" w:cs="Arial"/>
                <w:sz w:val="18"/>
                <w:szCs w:val="20"/>
              </w:rPr>
              <w:t>Jarillón</w:t>
            </w:r>
            <w:proofErr w:type="spellEnd"/>
            <w:r w:rsidRPr="00C362A1">
              <w:rPr>
                <w:rFonts w:ascii="Arial" w:eastAsia="Calibri" w:hAnsi="Arial" w:cs="Arial"/>
                <w:sz w:val="18"/>
                <w:szCs w:val="20"/>
              </w:rPr>
              <w:t xml:space="preserve"> del río </w:t>
            </w:r>
            <w:proofErr w:type="spellStart"/>
            <w:r w:rsidRPr="00C362A1">
              <w:rPr>
                <w:rFonts w:ascii="Arial" w:eastAsia="Calibri" w:hAnsi="Arial" w:cs="Arial"/>
                <w:sz w:val="18"/>
                <w:szCs w:val="20"/>
              </w:rPr>
              <w:t>Párraga</w:t>
            </w:r>
            <w:proofErr w:type="spellEnd"/>
            <w:r w:rsidRPr="00C362A1">
              <w:rPr>
                <w:rFonts w:ascii="Arial" w:eastAsia="Calibri" w:hAnsi="Arial" w:cs="Arial"/>
                <w:sz w:val="18"/>
                <w:szCs w:val="20"/>
              </w:rPr>
              <w:t xml:space="preserve"> junto al barrio Obrero, en la cabecera municipal, se considera que el riesgo es no mitigable para las viviendas que tienen invadido el </w:t>
            </w:r>
            <w:proofErr w:type="spellStart"/>
            <w:r w:rsidRPr="00C362A1">
              <w:rPr>
                <w:rFonts w:ascii="Arial" w:eastAsia="Calibri" w:hAnsi="Arial" w:cs="Arial"/>
                <w:sz w:val="18"/>
                <w:szCs w:val="20"/>
              </w:rPr>
              <w:t>jarillón</w:t>
            </w:r>
            <w:proofErr w:type="spellEnd"/>
          </w:p>
        </w:tc>
        <w:tc>
          <w:tcPr>
            <w:tcW w:w="1551"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Calibri" w:hAnsi="Arial" w:cs="Arial"/>
                <w:sz w:val="18"/>
                <w:szCs w:val="20"/>
              </w:rPr>
              <w:t xml:space="preserve">A 30km de </w:t>
            </w:r>
            <w:hyperlink r:id="rId10" w:tooltip="Cali" w:history="1">
              <w:r w:rsidRPr="00C362A1">
                <w:rPr>
                  <w:rFonts w:ascii="Arial" w:eastAsia="Calibri" w:hAnsi="Arial" w:cs="Arial"/>
                  <w:sz w:val="18"/>
                  <w:szCs w:val="20"/>
                </w:rPr>
                <w:t>Cali</w:t>
              </w:r>
            </w:hyperlink>
            <w:r w:rsidRPr="00C362A1">
              <w:rPr>
                <w:rFonts w:ascii="Arial" w:eastAsia="Calibri" w:hAnsi="Arial" w:cs="Arial"/>
                <w:sz w:val="18"/>
                <w:szCs w:val="20"/>
              </w:rPr>
              <w:t xml:space="preserve"> permanece enlazado por carretera con </w:t>
            </w:r>
            <w:hyperlink r:id="rId11" w:tooltip="Florida" w:history="1">
              <w:r w:rsidRPr="00C362A1">
                <w:rPr>
                  <w:rFonts w:ascii="Arial" w:eastAsia="Calibri" w:hAnsi="Arial" w:cs="Arial"/>
                  <w:sz w:val="18"/>
                  <w:szCs w:val="20"/>
                </w:rPr>
                <w:t>Florida</w:t>
              </w:r>
            </w:hyperlink>
            <w:r w:rsidRPr="00C362A1">
              <w:rPr>
                <w:rFonts w:ascii="Arial" w:eastAsia="Calibri" w:hAnsi="Arial" w:cs="Arial"/>
                <w:sz w:val="18"/>
                <w:szCs w:val="20"/>
              </w:rPr>
              <w:t xml:space="preserve">, </w:t>
            </w:r>
            <w:hyperlink r:id="rId12" w:tooltip="Pradera" w:history="1">
              <w:r w:rsidRPr="00C362A1">
                <w:rPr>
                  <w:rFonts w:ascii="Arial" w:eastAsia="Calibri" w:hAnsi="Arial" w:cs="Arial"/>
                  <w:sz w:val="18"/>
                  <w:szCs w:val="20"/>
                </w:rPr>
                <w:t>Pradera</w:t>
              </w:r>
            </w:hyperlink>
            <w:r w:rsidRPr="00C362A1">
              <w:rPr>
                <w:rFonts w:ascii="Arial" w:eastAsia="Calibri" w:hAnsi="Arial" w:cs="Arial"/>
                <w:sz w:val="18"/>
                <w:szCs w:val="20"/>
              </w:rPr>
              <w:t xml:space="preserve">, </w:t>
            </w:r>
            <w:hyperlink r:id="rId13" w:tooltip="Palmira" w:history="1">
              <w:r w:rsidRPr="00C362A1">
                <w:rPr>
                  <w:rFonts w:ascii="Arial" w:eastAsia="Calibri" w:hAnsi="Arial" w:cs="Arial"/>
                  <w:sz w:val="18"/>
                  <w:szCs w:val="20"/>
                </w:rPr>
                <w:t>Palmira</w:t>
              </w:r>
            </w:hyperlink>
            <w:r w:rsidRPr="00C362A1">
              <w:rPr>
                <w:rFonts w:ascii="Arial" w:eastAsia="Calibri" w:hAnsi="Arial" w:cs="Arial"/>
                <w:sz w:val="18"/>
                <w:szCs w:val="20"/>
              </w:rPr>
              <w:t xml:space="preserve"> y </w:t>
            </w:r>
            <w:hyperlink r:id="rId14" w:tooltip="Cali" w:history="1">
              <w:r w:rsidRPr="00C362A1">
                <w:rPr>
                  <w:rFonts w:ascii="Arial" w:eastAsia="Calibri" w:hAnsi="Arial" w:cs="Arial"/>
                  <w:sz w:val="18"/>
                  <w:szCs w:val="20"/>
                </w:rPr>
                <w:t>Cali</w:t>
              </w:r>
            </w:hyperlink>
            <w:r w:rsidRPr="00C362A1">
              <w:rPr>
                <w:rFonts w:ascii="Arial" w:eastAsia="Calibri" w:hAnsi="Arial" w:cs="Arial"/>
                <w:sz w:val="18"/>
                <w:szCs w:val="20"/>
              </w:rPr>
              <w:t xml:space="preserve">. También el río </w:t>
            </w:r>
            <w:hyperlink r:id="rId15" w:tooltip="Río Cauca" w:history="1">
              <w:r w:rsidRPr="00C362A1">
                <w:rPr>
                  <w:rFonts w:ascii="Arial" w:eastAsia="Calibri" w:hAnsi="Arial" w:cs="Arial"/>
                  <w:sz w:val="18"/>
                  <w:szCs w:val="20"/>
                </w:rPr>
                <w:t>Cauca</w:t>
              </w:r>
            </w:hyperlink>
            <w:r w:rsidRPr="00C362A1">
              <w:rPr>
                <w:rFonts w:ascii="Arial" w:eastAsia="Calibri" w:hAnsi="Arial" w:cs="Arial"/>
                <w:sz w:val="18"/>
                <w:szCs w:val="20"/>
              </w:rPr>
              <w:t xml:space="preserve"> y el Desbaratado hacen posible la navegación en embarcaciones de mínimo calado</w:t>
            </w:r>
          </w:p>
        </w:tc>
        <w:tc>
          <w:tcPr>
            <w:tcW w:w="1142"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Times New Roman" w:hAnsi="Arial" w:cs="Arial"/>
                <w:sz w:val="18"/>
                <w:szCs w:val="20"/>
                <w:lang w:eastAsia="es-CO"/>
              </w:rPr>
              <w:t xml:space="preserve">Cuenta con un hospital local de primer nivel, clínicas privadas de primer nivel como SOS, </w:t>
            </w:r>
            <w:proofErr w:type="spellStart"/>
            <w:r w:rsidRPr="00C362A1">
              <w:rPr>
                <w:rFonts w:ascii="Arial" w:eastAsia="Times New Roman" w:hAnsi="Arial" w:cs="Arial"/>
                <w:sz w:val="18"/>
                <w:szCs w:val="20"/>
                <w:lang w:eastAsia="es-CO"/>
              </w:rPr>
              <w:t>Emssanar</w:t>
            </w:r>
            <w:proofErr w:type="spellEnd"/>
            <w:r w:rsidRPr="00C362A1">
              <w:rPr>
                <w:rFonts w:ascii="Arial" w:eastAsia="Times New Roman" w:hAnsi="Arial" w:cs="Arial"/>
                <w:sz w:val="18"/>
                <w:szCs w:val="20"/>
                <w:lang w:eastAsia="es-CO"/>
              </w:rPr>
              <w:t xml:space="preserve">, </w:t>
            </w:r>
            <w:proofErr w:type="spellStart"/>
            <w:r w:rsidRPr="00C362A1">
              <w:rPr>
                <w:rFonts w:ascii="Arial" w:eastAsia="Times New Roman" w:hAnsi="Arial" w:cs="Arial"/>
                <w:sz w:val="18"/>
                <w:szCs w:val="20"/>
                <w:lang w:eastAsia="es-CO"/>
              </w:rPr>
              <w:t>Coomeva</w:t>
            </w:r>
            <w:proofErr w:type="spellEnd"/>
            <w:r w:rsidRPr="00C362A1">
              <w:rPr>
                <w:rFonts w:ascii="Arial" w:eastAsia="Times New Roman" w:hAnsi="Arial" w:cs="Arial"/>
                <w:sz w:val="18"/>
                <w:szCs w:val="20"/>
                <w:lang w:eastAsia="es-CO"/>
              </w:rPr>
              <w:t xml:space="preserve"> con servicios de servicio médico general, odontología, laboratorio y algunas brigadas de salud en los corregimientos</w:t>
            </w:r>
          </w:p>
        </w:tc>
        <w:tc>
          <w:tcPr>
            <w:tcW w:w="1242"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Calibri" w:hAnsi="Arial" w:cs="Arial"/>
                <w:sz w:val="18"/>
                <w:szCs w:val="20"/>
              </w:rPr>
              <w:t>El ordenamiento del territorio municipal y distrital comprende un conjunto de acciones político-administrativas y de planificación física concertadas, emprendidas por los municipios o distritos y áreas metropolitanas</w:t>
            </w:r>
          </w:p>
        </w:tc>
        <w:tc>
          <w:tcPr>
            <w:tcW w:w="1594"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Times New Roman" w:hAnsi="Arial" w:cs="Arial"/>
                <w:sz w:val="18"/>
                <w:szCs w:val="20"/>
                <w:lang w:eastAsia="es-CO"/>
              </w:rPr>
              <w:t>En la</w:t>
            </w:r>
          </w:p>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Times New Roman" w:hAnsi="Arial" w:cs="Arial"/>
                <w:sz w:val="18"/>
                <w:szCs w:val="20"/>
                <w:lang w:eastAsia="es-CO"/>
              </w:rPr>
              <w:t>localidad</w:t>
            </w:r>
          </w:p>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Times New Roman" w:hAnsi="Arial" w:cs="Arial"/>
                <w:sz w:val="18"/>
                <w:szCs w:val="20"/>
                <w:lang w:eastAsia="es-CO"/>
              </w:rPr>
              <w:t>con la nueva</w:t>
            </w:r>
          </w:p>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Times New Roman" w:hAnsi="Arial" w:cs="Arial"/>
                <w:sz w:val="18"/>
                <w:szCs w:val="20"/>
                <w:lang w:eastAsia="es-CO"/>
              </w:rPr>
              <w:t>alcaldía se</w:t>
            </w:r>
          </w:p>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Times New Roman" w:hAnsi="Arial" w:cs="Arial"/>
                <w:sz w:val="18"/>
                <w:szCs w:val="20"/>
                <w:lang w:eastAsia="es-CO"/>
              </w:rPr>
              <w:t>esta</w:t>
            </w:r>
          </w:p>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Times New Roman" w:hAnsi="Arial" w:cs="Arial"/>
                <w:sz w:val="18"/>
                <w:szCs w:val="20"/>
                <w:lang w:eastAsia="es-CO"/>
              </w:rPr>
              <w:t>tratando de</w:t>
            </w:r>
          </w:p>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Times New Roman" w:hAnsi="Arial" w:cs="Arial"/>
                <w:sz w:val="18"/>
                <w:szCs w:val="20"/>
                <w:lang w:eastAsia="es-CO"/>
              </w:rPr>
              <w:t>que allá</w:t>
            </w:r>
          </w:p>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Times New Roman" w:hAnsi="Arial" w:cs="Arial"/>
                <w:sz w:val="18"/>
                <w:szCs w:val="20"/>
                <w:lang w:eastAsia="es-CO"/>
              </w:rPr>
              <w:t>una equidad</w:t>
            </w:r>
          </w:p>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Times New Roman" w:hAnsi="Arial" w:cs="Arial"/>
                <w:sz w:val="18"/>
                <w:szCs w:val="20"/>
                <w:lang w:eastAsia="es-CO"/>
              </w:rPr>
              <w:t>social de</w:t>
            </w:r>
          </w:p>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Times New Roman" w:hAnsi="Arial" w:cs="Arial"/>
                <w:sz w:val="18"/>
                <w:szCs w:val="20"/>
                <w:lang w:eastAsia="es-CO"/>
              </w:rPr>
              <w:t>que todos</w:t>
            </w:r>
          </w:p>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Times New Roman" w:hAnsi="Arial" w:cs="Arial"/>
                <w:sz w:val="18"/>
                <w:szCs w:val="20"/>
                <w:lang w:eastAsia="es-CO"/>
              </w:rPr>
              <w:t>seamos</w:t>
            </w:r>
          </w:p>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Times New Roman" w:hAnsi="Arial" w:cs="Arial"/>
                <w:sz w:val="18"/>
                <w:szCs w:val="20"/>
                <w:lang w:eastAsia="es-CO"/>
              </w:rPr>
              <w:t>tratados por</w:t>
            </w:r>
          </w:p>
          <w:p w:rsidR="000E5B62" w:rsidRPr="00C362A1" w:rsidRDefault="000E5B62" w:rsidP="000E5B62">
            <w:pPr>
              <w:jc w:val="both"/>
              <w:cnfStyle w:val="000000100000"/>
              <w:rPr>
                <w:rFonts w:ascii="Arial" w:eastAsia="Times New Roman" w:hAnsi="Arial" w:cs="Arial"/>
                <w:sz w:val="18"/>
                <w:szCs w:val="20"/>
                <w:lang w:eastAsia="es-CO"/>
              </w:rPr>
            </w:pPr>
            <w:r w:rsidRPr="00C362A1">
              <w:rPr>
                <w:rFonts w:ascii="Arial" w:eastAsia="Times New Roman" w:hAnsi="Arial" w:cs="Arial"/>
                <w:sz w:val="18"/>
                <w:szCs w:val="20"/>
                <w:lang w:eastAsia="es-CO"/>
              </w:rPr>
              <w:t>igual, eventos con la comunidad del pacifico, choco y Nariño</w:t>
            </w:r>
          </w:p>
          <w:p w:rsidR="000E5B62" w:rsidRPr="00C362A1" w:rsidRDefault="000E5B62" w:rsidP="000E5B62">
            <w:pPr>
              <w:jc w:val="both"/>
              <w:cnfStyle w:val="000000100000"/>
              <w:rPr>
                <w:rFonts w:ascii="Arial" w:eastAsia="Times New Roman" w:hAnsi="Arial" w:cs="Arial"/>
                <w:sz w:val="18"/>
                <w:szCs w:val="20"/>
                <w:lang w:eastAsia="es-CO"/>
              </w:rPr>
            </w:pPr>
          </w:p>
        </w:tc>
        <w:tc>
          <w:tcPr>
            <w:tcW w:w="1418" w:type="dxa"/>
            <w:tcBorders>
              <w:top w:val="none" w:sz="0" w:space="0" w:color="auto"/>
              <w:left w:val="none" w:sz="0" w:space="0" w:color="auto"/>
              <w:bottom w:val="none" w:sz="0" w:space="0" w:color="auto"/>
              <w:right w:val="none" w:sz="0" w:space="0" w:color="auto"/>
            </w:tcBorders>
          </w:tcPr>
          <w:p w:rsidR="000E5B62" w:rsidRPr="00C362A1" w:rsidRDefault="000E5B62" w:rsidP="000E5B62">
            <w:pPr>
              <w:autoSpaceDE w:val="0"/>
              <w:autoSpaceDN w:val="0"/>
              <w:adjustRightInd w:val="0"/>
              <w:jc w:val="both"/>
              <w:cnfStyle w:val="000000100000"/>
              <w:rPr>
                <w:rFonts w:ascii="Arial" w:eastAsia="Calibri" w:hAnsi="Arial" w:cs="Arial"/>
                <w:sz w:val="18"/>
                <w:szCs w:val="20"/>
              </w:rPr>
            </w:pPr>
            <w:r w:rsidRPr="00C362A1">
              <w:rPr>
                <w:rFonts w:ascii="Arial" w:eastAsia="Calibri" w:hAnsi="Arial" w:cs="Arial"/>
                <w:sz w:val="18"/>
                <w:szCs w:val="20"/>
              </w:rPr>
              <w:t xml:space="preserve">Mejoramiento de las aguas residuales y la quema de </w:t>
            </w:r>
            <w:proofErr w:type="spellStart"/>
            <w:r w:rsidRPr="00C362A1">
              <w:rPr>
                <w:rFonts w:ascii="Arial" w:eastAsia="Calibri" w:hAnsi="Arial" w:cs="Arial"/>
                <w:sz w:val="18"/>
                <w:szCs w:val="20"/>
              </w:rPr>
              <w:t>cañales</w:t>
            </w:r>
            <w:proofErr w:type="spellEnd"/>
          </w:p>
        </w:tc>
      </w:tr>
      <w:tr w:rsidR="000E5B62" w:rsidRPr="00C362A1" w:rsidTr="000E5B62">
        <w:tc>
          <w:tcPr>
            <w:cnfStyle w:val="001000000000"/>
            <w:tcW w:w="1276" w:type="dxa"/>
            <w:tcBorders>
              <w:left w:val="none" w:sz="0" w:space="0" w:color="auto"/>
              <w:bottom w:val="none" w:sz="0" w:space="0" w:color="auto"/>
              <w:right w:val="none" w:sz="0" w:space="0" w:color="auto"/>
            </w:tcBorders>
            <w:vAlign w:val="center"/>
          </w:tcPr>
          <w:p w:rsidR="000E5B62" w:rsidRPr="00C362A1" w:rsidRDefault="000E5B62" w:rsidP="000E5B62">
            <w:pPr>
              <w:jc w:val="center"/>
              <w:rPr>
                <w:rFonts w:ascii="Arial" w:eastAsia="Times New Roman" w:hAnsi="Arial" w:cs="Arial"/>
                <w:sz w:val="18"/>
                <w:szCs w:val="20"/>
                <w:lang w:eastAsia="es-CO"/>
              </w:rPr>
            </w:pPr>
            <w:r w:rsidRPr="00C362A1">
              <w:rPr>
                <w:rFonts w:ascii="Arial" w:eastAsia="Times New Roman" w:hAnsi="Arial" w:cs="Arial"/>
                <w:sz w:val="18"/>
                <w:szCs w:val="20"/>
                <w:lang w:eastAsia="es-CO"/>
              </w:rPr>
              <w:t>B</w:t>
            </w:r>
            <w:r w:rsidRPr="00C362A1">
              <w:rPr>
                <w:rFonts w:ascii="Arial" w:eastAsia="Times New Roman" w:hAnsi="Arial" w:cs="Arial"/>
                <w:bCs w:val="0"/>
                <w:sz w:val="18"/>
                <w:szCs w:val="20"/>
                <w:lang w:eastAsia="es-CO"/>
              </w:rPr>
              <w:t>osa-Bogotá D.C.</w:t>
            </w:r>
          </w:p>
        </w:tc>
        <w:tc>
          <w:tcPr>
            <w:tcW w:w="1667"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C362A1">
              <w:rPr>
                <w:rFonts w:ascii="Arial" w:eastAsia="Times New Roman" w:hAnsi="Arial" w:cs="Arial"/>
                <w:color w:val="000000"/>
                <w:sz w:val="18"/>
                <w:szCs w:val="20"/>
                <w:lang w:eastAsia="es-CO"/>
              </w:rPr>
              <w:t>Cuenta con la suficiente infraestructura, cupos y profesores para la población estudiantil</w:t>
            </w:r>
          </w:p>
        </w:tc>
        <w:tc>
          <w:tcPr>
            <w:tcW w:w="1027"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C362A1">
              <w:rPr>
                <w:rFonts w:ascii="Arial" w:eastAsia="Times New Roman" w:hAnsi="Arial" w:cs="Arial"/>
                <w:color w:val="000000"/>
                <w:sz w:val="18"/>
                <w:szCs w:val="20"/>
                <w:lang w:eastAsia="es-CO"/>
              </w:rPr>
              <w:t>Este sector está los estratos 1 y 2 población pobre.</w:t>
            </w:r>
          </w:p>
        </w:tc>
        <w:tc>
          <w:tcPr>
            <w:tcW w:w="1241"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C362A1">
              <w:rPr>
                <w:rFonts w:ascii="Arial" w:eastAsia="Times New Roman" w:hAnsi="Arial" w:cs="Arial"/>
                <w:color w:val="000000"/>
                <w:sz w:val="18"/>
                <w:szCs w:val="20"/>
                <w:lang w:eastAsia="es-CO"/>
              </w:rPr>
              <w:t>Es la localidad donde más atracos hay.</w:t>
            </w:r>
          </w:p>
        </w:tc>
        <w:tc>
          <w:tcPr>
            <w:tcW w:w="1418"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C362A1">
              <w:rPr>
                <w:rFonts w:ascii="Arial" w:eastAsia="Times New Roman" w:hAnsi="Arial" w:cs="Arial"/>
                <w:color w:val="000000"/>
                <w:sz w:val="18"/>
                <w:szCs w:val="20"/>
                <w:lang w:eastAsia="es-CO"/>
              </w:rPr>
              <w:t>Cuenta con población como juntas comunal que prestan servicio social</w:t>
            </w:r>
          </w:p>
        </w:tc>
        <w:tc>
          <w:tcPr>
            <w:tcW w:w="1417"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C362A1">
              <w:rPr>
                <w:rFonts w:ascii="Arial" w:eastAsia="Times New Roman" w:hAnsi="Arial" w:cs="Arial"/>
                <w:color w:val="000000"/>
                <w:sz w:val="18"/>
                <w:szCs w:val="20"/>
                <w:lang w:eastAsia="es-CO"/>
              </w:rPr>
              <w:t>Desplazados e indígenas.</w:t>
            </w:r>
          </w:p>
        </w:tc>
        <w:tc>
          <w:tcPr>
            <w:tcW w:w="1551"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C362A1">
              <w:rPr>
                <w:rFonts w:ascii="Arial" w:eastAsia="Times New Roman" w:hAnsi="Arial" w:cs="Arial"/>
                <w:color w:val="000000"/>
                <w:sz w:val="18"/>
                <w:szCs w:val="20"/>
                <w:lang w:eastAsia="es-CO"/>
              </w:rPr>
              <w:t>Cuenta con toda la tecnología y es aledaño a barrios con buenas estructuras.</w:t>
            </w:r>
          </w:p>
        </w:tc>
        <w:tc>
          <w:tcPr>
            <w:tcW w:w="1142"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C362A1">
              <w:rPr>
                <w:rFonts w:ascii="Arial" w:eastAsia="Times New Roman" w:hAnsi="Arial" w:cs="Arial"/>
                <w:color w:val="000000"/>
                <w:sz w:val="18"/>
                <w:szCs w:val="20"/>
                <w:lang w:eastAsia="es-CO"/>
              </w:rPr>
              <w:t xml:space="preserve">Cuenta con las </w:t>
            </w:r>
            <w:proofErr w:type="spellStart"/>
            <w:r w:rsidRPr="00C362A1">
              <w:rPr>
                <w:rFonts w:ascii="Arial" w:eastAsia="Times New Roman" w:hAnsi="Arial" w:cs="Arial"/>
                <w:color w:val="000000"/>
                <w:sz w:val="18"/>
                <w:szCs w:val="20"/>
                <w:lang w:eastAsia="es-CO"/>
              </w:rPr>
              <w:t>eps</w:t>
            </w:r>
            <w:proofErr w:type="spellEnd"/>
            <w:r w:rsidRPr="00C362A1">
              <w:rPr>
                <w:rFonts w:ascii="Arial" w:eastAsia="Times New Roman" w:hAnsi="Arial" w:cs="Arial"/>
                <w:color w:val="000000"/>
                <w:sz w:val="18"/>
                <w:szCs w:val="20"/>
                <w:lang w:eastAsia="es-CO"/>
              </w:rPr>
              <w:t xml:space="preserve"> y centros de los estados.</w:t>
            </w:r>
          </w:p>
        </w:tc>
        <w:tc>
          <w:tcPr>
            <w:tcW w:w="1242"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C362A1">
              <w:rPr>
                <w:rFonts w:ascii="Arial" w:eastAsia="Times New Roman" w:hAnsi="Arial" w:cs="Arial"/>
                <w:color w:val="000000"/>
                <w:sz w:val="18"/>
                <w:szCs w:val="20"/>
                <w:lang w:eastAsia="es-CO"/>
              </w:rPr>
              <w:t>Cuenta con población como juntas comunal que prestan servicio social</w:t>
            </w:r>
          </w:p>
        </w:tc>
        <w:tc>
          <w:tcPr>
            <w:tcW w:w="1594"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C362A1">
              <w:rPr>
                <w:rFonts w:ascii="Arial" w:eastAsia="Times New Roman" w:hAnsi="Arial" w:cs="Arial"/>
                <w:color w:val="000000"/>
                <w:sz w:val="18"/>
                <w:szCs w:val="20"/>
                <w:lang w:eastAsia="es-CO"/>
              </w:rPr>
              <w:t>Énfasis a desplazados e indígenas.</w:t>
            </w:r>
          </w:p>
        </w:tc>
        <w:tc>
          <w:tcPr>
            <w:tcW w:w="1418"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C362A1">
              <w:rPr>
                <w:rFonts w:ascii="Arial" w:eastAsia="Times New Roman" w:hAnsi="Arial" w:cs="Arial"/>
                <w:color w:val="000000"/>
                <w:sz w:val="18"/>
                <w:szCs w:val="20"/>
                <w:lang w:eastAsia="es-CO"/>
              </w:rPr>
              <w:t>Posee gran cantidad de desagües y humedales -</w:t>
            </w:r>
          </w:p>
        </w:tc>
      </w:tr>
      <w:tr w:rsidR="000E5B62" w:rsidRPr="00C362A1" w:rsidTr="000E5B62">
        <w:trPr>
          <w:cnfStyle w:val="000000100000"/>
          <w:trHeight w:val="586"/>
        </w:trPr>
        <w:tc>
          <w:tcPr>
            <w:cnfStyle w:val="001000000000"/>
            <w:tcW w:w="1276" w:type="dxa"/>
            <w:tcBorders>
              <w:top w:val="none" w:sz="0" w:space="0" w:color="auto"/>
              <w:left w:val="none" w:sz="0" w:space="0" w:color="auto"/>
              <w:bottom w:val="none" w:sz="0" w:space="0" w:color="auto"/>
              <w:right w:val="none" w:sz="0" w:space="0" w:color="auto"/>
            </w:tcBorders>
            <w:vAlign w:val="center"/>
          </w:tcPr>
          <w:p w:rsidR="000E5B62" w:rsidRPr="00C362A1" w:rsidRDefault="000E5B62" w:rsidP="000E5B62">
            <w:pPr>
              <w:jc w:val="center"/>
              <w:rPr>
                <w:rFonts w:ascii="Arial" w:eastAsia="Times New Roman" w:hAnsi="Arial" w:cs="Arial"/>
                <w:sz w:val="18"/>
                <w:szCs w:val="20"/>
                <w:lang w:eastAsia="es-CO"/>
              </w:rPr>
            </w:pPr>
            <w:r w:rsidRPr="00C362A1">
              <w:rPr>
                <w:rFonts w:ascii="Arial" w:eastAsia="Times New Roman" w:hAnsi="Arial" w:cs="Arial"/>
                <w:sz w:val="18"/>
                <w:szCs w:val="20"/>
                <w:lang w:eastAsia="es-CO"/>
              </w:rPr>
              <w:lastRenderedPageBreak/>
              <w:t>Florencia-Caquetá</w:t>
            </w:r>
          </w:p>
        </w:tc>
        <w:tc>
          <w:tcPr>
            <w:tcW w:w="1667" w:type="dxa"/>
            <w:tcBorders>
              <w:top w:val="none" w:sz="0" w:space="0" w:color="auto"/>
              <w:left w:val="none" w:sz="0" w:space="0" w:color="auto"/>
              <w:bottom w:val="none" w:sz="0" w:space="0" w:color="auto"/>
              <w:right w:val="none" w:sz="0" w:space="0" w:color="auto"/>
            </w:tcBorders>
          </w:tcPr>
          <w:p w:rsidR="000E5B62" w:rsidRPr="00903A6C" w:rsidRDefault="000E5B62" w:rsidP="000E5B62">
            <w:pPr>
              <w:jc w:val="both"/>
              <w:cnfStyle w:val="000000100000"/>
              <w:rPr>
                <w:rFonts w:ascii="Arial" w:eastAsia="Times New Roman" w:hAnsi="Arial" w:cs="Arial"/>
                <w:color w:val="000000"/>
                <w:sz w:val="18"/>
                <w:szCs w:val="20"/>
                <w:lang w:eastAsia="es-CO"/>
              </w:rPr>
            </w:pPr>
            <w:r w:rsidRPr="00903A6C">
              <w:rPr>
                <w:rFonts w:ascii="Arial" w:eastAsia="Times New Roman" w:hAnsi="Arial" w:cs="Arial"/>
                <w:color w:val="000000"/>
                <w:sz w:val="18"/>
                <w:szCs w:val="20"/>
                <w:lang w:eastAsia="es-CO"/>
              </w:rPr>
              <w:t>Educación Básica y media</w:t>
            </w:r>
          </w:p>
          <w:p w:rsidR="000E5B62" w:rsidRPr="00903A6C" w:rsidRDefault="000E5B62" w:rsidP="000E5B62">
            <w:pPr>
              <w:jc w:val="both"/>
              <w:cnfStyle w:val="000000100000"/>
              <w:rPr>
                <w:rFonts w:ascii="Arial" w:eastAsia="Times New Roman" w:hAnsi="Arial" w:cs="Arial"/>
                <w:color w:val="000000"/>
                <w:sz w:val="18"/>
                <w:szCs w:val="20"/>
                <w:lang w:eastAsia="es-CO"/>
              </w:rPr>
            </w:pPr>
            <w:r w:rsidRPr="00903A6C">
              <w:rPr>
                <w:rFonts w:ascii="Arial" w:eastAsia="Times New Roman" w:hAnsi="Arial" w:cs="Arial"/>
                <w:color w:val="000000"/>
                <w:sz w:val="18"/>
                <w:szCs w:val="20"/>
                <w:lang w:eastAsia="es-CO"/>
              </w:rPr>
              <w:t>Cuenta con 29 establecimientos educativos oficiales distribuidos en 173 sedes, más 48 establecimientos privados</w:t>
            </w:r>
          </w:p>
          <w:p w:rsidR="000E5B62" w:rsidRPr="00C362A1" w:rsidRDefault="000E5B62" w:rsidP="000E5B62">
            <w:pPr>
              <w:jc w:val="both"/>
              <w:cnfStyle w:val="000000100000"/>
              <w:rPr>
                <w:rFonts w:ascii="Arial" w:eastAsia="Times New Roman" w:hAnsi="Arial" w:cs="Arial"/>
                <w:color w:val="000000"/>
                <w:sz w:val="18"/>
                <w:szCs w:val="20"/>
                <w:lang w:eastAsia="es-CO"/>
              </w:rPr>
            </w:pPr>
            <w:r w:rsidRPr="00903A6C">
              <w:rPr>
                <w:rFonts w:ascii="Arial" w:eastAsia="Times New Roman" w:hAnsi="Arial" w:cs="Arial"/>
                <w:color w:val="000000"/>
                <w:sz w:val="18"/>
                <w:szCs w:val="20"/>
                <w:lang w:eastAsia="es-CO"/>
              </w:rPr>
              <w:t>Educación superior: Establecidas en Florencia: Universidad de la Amazonia, UNAD, SENA, la Normal Superior. Existen convenios con la universidad del Tolima, CUN, ESAP.</w:t>
            </w:r>
          </w:p>
        </w:tc>
        <w:tc>
          <w:tcPr>
            <w:tcW w:w="1027"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color w:val="000000"/>
                <w:sz w:val="18"/>
                <w:szCs w:val="20"/>
                <w:lang w:eastAsia="es-CO"/>
              </w:rPr>
            </w:pPr>
            <w:r w:rsidRPr="00903A6C">
              <w:rPr>
                <w:rFonts w:ascii="Arial" w:eastAsia="Times New Roman" w:hAnsi="Arial" w:cs="Arial"/>
                <w:color w:val="000000"/>
                <w:sz w:val="18"/>
                <w:szCs w:val="20"/>
                <w:lang w:eastAsia="es-CO"/>
              </w:rPr>
              <w:t>Somos una me</w:t>
            </w:r>
            <w:r>
              <w:rPr>
                <w:rFonts w:ascii="Arial" w:eastAsia="Times New Roman" w:hAnsi="Arial" w:cs="Arial"/>
                <w:color w:val="000000"/>
                <w:sz w:val="18"/>
                <w:szCs w:val="20"/>
                <w:lang w:eastAsia="es-CO"/>
              </w:rPr>
              <w:t>z</w:t>
            </w:r>
            <w:r w:rsidRPr="00903A6C">
              <w:rPr>
                <w:rFonts w:ascii="Arial" w:eastAsia="Times New Roman" w:hAnsi="Arial" w:cs="Arial"/>
                <w:color w:val="000000"/>
                <w:sz w:val="18"/>
                <w:szCs w:val="20"/>
                <w:lang w:eastAsia="es-CO"/>
              </w:rPr>
              <w:t xml:space="preserve">cla de Tolimenses y Opitas, la base de su economía es la ganadería y la agricultura. Sus fiestas populares Expo-Florencia y el Colono de Oro. Su comida típica es la bandeja </w:t>
            </w:r>
            <w:proofErr w:type="spellStart"/>
            <w:r w:rsidRPr="00903A6C">
              <w:rPr>
                <w:rFonts w:ascii="Arial" w:eastAsia="Times New Roman" w:hAnsi="Arial" w:cs="Arial"/>
                <w:color w:val="000000"/>
                <w:sz w:val="18"/>
                <w:szCs w:val="20"/>
                <w:lang w:eastAsia="es-CO"/>
              </w:rPr>
              <w:t>caqueteña</w:t>
            </w:r>
            <w:proofErr w:type="spellEnd"/>
            <w:r>
              <w:rPr>
                <w:rFonts w:ascii="Arial" w:eastAsia="Times New Roman" w:hAnsi="Arial" w:cs="Arial"/>
                <w:color w:val="000000"/>
                <w:sz w:val="18"/>
                <w:szCs w:val="20"/>
                <w:lang w:eastAsia="es-CO"/>
              </w:rPr>
              <w:t>.</w:t>
            </w:r>
          </w:p>
        </w:tc>
        <w:tc>
          <w:tcPr>
            <w:tcW w:w="1241"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color w:val="000000"/>
                <w:sz w:val="18"/>
                <w:szCs w:val="20"/>
                <w:lang w:eastAsia="es-CO"/>
              </w:rPr>
            </w:pPr>
            <w:r w:rsidRPr="00903A6C">
              <w:rPr>
                <w:rFonts w:ascii="Arial" w:eastAsia="Times New Roman" w:hAnsi="Arial" w:cs="Arial"/>
                <w:color w:val="000000"/>
                <w:sz w:val="18"/>
                <w:szCs w:val="20"/>
                <w:lang w:eastAsia="es-CO"/>
              </w:rPr>
              <w:t>Es una de las regiones del país más afectada por la incursión de grupos guerrilleros.</w:t>
            </w:r>
          </w:p>
        </w:tc>
        <w:tc>
          <w:tcPr>
            <w:tcW w:w="1418" w:type="dxa"/>
            <w:tcBorders>
              <w:top w:val="none" w:sz="0" w:space="0" w:color="auto"/>
              <w:left w:val="none" w:sz="0" w:space="0" w:color="auto"/>
              <w:bottom w:val="none" w:sz="0" w:space="0" w:color="auto"/>
              <w:right w:val="none" w:sz="0" w:space="0" w:color="auto"/>
            </w:tcBorders>
          </w:tcPr>
          <w:p w:rsidR="000E5B62" w:rsidRPr="00903A6C" w:rsidRDefault="000E5B62" w:rsidP="000E5B62">
            <w:pPr>
              <w:jc w:val="both"/>
              <w:cnfStyle w:val="000000100000"/>
              <w:rPr>
                <w:rFonts w:ascii="Arial" w:eastAsia="Times New Roman" w:hAnsi="Arial" w:cs="Arial"/>
                <w:color w:val="000000"/>
                <w:sz w:val="18"/>
                <w:szCs w:val="20"/>
                <w:lang w:eastAsia="es-CO"/>
              </w:rPr>
            </w:pPr>
            <w:r w:rsidRPr="00903A6C">
              <w:rPr>
                <w:rFonts w:ascii="Arial" w:eastAsia="Times New Roman" w:hAnsi="Arial" w:cs="Arial"/>
                <w:color w:val="000000"/>
                <w:sz w:val="18"/>
                <w:szCs w:val="20"/>
                <w:lang w:eastAsia="es-CO"/>
              </w:rPr>
              <w:t>El alcalde de Florencia es el jefe de gobierno.</w:t>
            </w:r>
          </w:p>
          <w:p w:rsidR="000E5B62" w:rsidRPr="00C362A1" w:rsidRDefault="000E5B62" w:rsidP="000E5B62">
            <w:pPr>
              <w:jc w:val="both"/>
              <w:cnfStyle w:val="000000100000"/>
              <w:rPr>
                <w:rFonts w:ascii="Arial" w:eastAsia="Times New Roman" w:hAnsi="Arial" w:cs="Arial"/>
                <w:color w:val="000000"/>
                <w:sz w:val="18"/>
                <w:szCs w:val="20"/>
                <w:lang w:eastAsia="es-CO"/>
              </w:rPr>
            </w:pPr>
            <w:r w:rsidRPr="00903A6C">
              <w:rPr>
                <w:rFonts w:ascii="Arial" w:eastAsia="Times New Roman" w:hAnsi="Arial" w:cs="Arial"/>
                <w:color w:val="000000"/>
                <w:sz w:val="18"/>
                <w:szCs w:val="20"/>
                <w:lang w:eastAsia="es-CO"/>
              </w:rPr>
              <w:t>En esta ciudad  también se encuentra la gobernación del Caquetá, y la asamblea departamental</w:t>
            </w:r>
            <w:r>
              <w:rPr>
                <w:rFonts w:ascii="Arial" w:eastAsia="Times New Roman" w:hAnsi="Arial" w:cs="Arial"/>
                <w:color w:val="000000"/>
                <w:sz w:val="18"/>
                <w:szCs w:val="20"/>
                <w:lang w:eastAsia="es-CO"/>
              </w:rPr>
              <w:t>.</w:t>
            </w:r>
          </w:p>
        </w:tc>
        <w:tc>
          <w:tcPr>
            <w:tcW w:w="1417"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color w:val="000000"/>
                <w:sz w:val="18"/>
                <w:szCs w:val="20"/>
                <w:lang w:eastAsia="es-CO"/>
              </w:rPr>
            </w:pPr>
            <w:r w:rsidRPr="00903A6C">
              <w:rPr>
                <w:rFonts w:ascii="Arial" w:eastAsia="Times New Roman" w:hAnsi="Arial" w:cs="Arial"/>
                <w:color w:val="000000"/>
                <w:sz w:val="18"/>
                <w:szCs w:val="20"/>
                <w:lang w:eastAsia="es-CO"/>
              </w:rPr>
              <w:t>Madres adolescente, desplazados, cabildos indígenas</w:t>
            </w:r>
            <w:r>
              <w:rPr>
                <w:rFonts w:ascii="Arial" w:eastAsia="Times New Roman" w:hAnsi="Arial" w:cs="Arial"/>
                <w:color w:val="000000"/>
                <w:sz w:val="18"/>
                <w:szCs w:val="20"/>
                <w:lang w:eastAsia="es-CO"/>
              </w:rPr>
              <w:t>.</w:t>
            </w:r>
          </w:p>
        </w:tc>
        <w:tc>
          <w:tcPr>
            <w:tcW w:w="1551"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color w:val="000000"/>
                <w:sz w:val="18"/>
                <w:szCs w:val="20"/>
                <w:lang w:eastAsia="es-CO"/>
              </w:rPr>
            </w:pPr>
            <w:r w:rsidRPr="00903A6C">
              <w:rPr>
                <w:rFonts w:ascii="Arial" w:eastAsia="Times New Roman" w:hAnsi="Arial" w:cs="Arial"/>
                <w:color w:val="000000"/>
                <w:sz w:val="18"/>
                <w:szCs w:val="20"/>
                <w:lang w:eastAsia="es-CO"/>
              </w:rPr>
              <w:t>Tenemos prensa escrita, emisoras de radio, televisión</w:t>
            </w:r>
            <w:r>
              <w:rPr>
                <w:rFonts w:ascii="Arial" w:eastAsia="Times New Roman" w:hAnsi="Arial" w:cs="Arial"/>
                <w:color w:val="000000"/>
                <w:sz w:val="18"/>
                <w:szCs w:val="20"/>
                <w:lang w:eastAsia="es-CO"/>
              </w:rPr>
              <w:t>.</w:t>
            </w:r>
          </w:p>
        </w:tc>
        <w:tc>
          <w:tcPr>
            <w:tcW w:w="1142"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color w:val="000000"/>
                <w:sz w:val="18"/>
                <w:szCs w:val="20"/>
                <w:lang w:eastAsia="es-CO"/>
              </w:rPr>
            </w:pPr>
            <w:r w:rsidRPr="00903A6C">
              <w:rPr>
                <w:rFonts w:ascii="Arial" w:eastAsia="Times New Roman" w:hAnsi="Arial" w:cs="Arial"/>
                <w:color w:val="000000"/>
                <w:sz w:val="18"/>
                <w:szCs w:val="20"/>
                <w:lang w:eastAsia="es-CO"/>
              </w:rPr>
              <w:t xml:space="preserve">Tenemos La clínica </w:t>
            </w:r>
            <w:proofErr w:type="spellStart"/>
            <w:r w:rsidRPr="00903A6C">
              <w:rPr>
                <w:rFonts w:ascii="Arial" w:eastAsia="Times New Roman" w:hAnsi="Arial" w:cs="Arial"/>
                <w:color w:val="000000"/>
                <w:sz w:val="18"/>
                <w:szCs w:val="20"/>
                <w:lang w:eastAsia="es-CO"/>
              </w:rPr>
              <w:t>Medilazer</w:t>
            </w:r>
            <w:proofErr w:type="spellEnd"/>
            <w:r w:rsidRPr="00903A6C">
              <w:rPr>
                <w:rFonts w:ascii="Arial" w:eastAsia="Times New Roman" w:hAnsi="Arial" w:cs="Arial"/>
                <w:color w:val="000000"/>
                <w:sz w:val="18"/>
                <w:szCs w:val="20"/>
                <w:lang w:eastAsia="es-CO"/>
              </w:rPr>
              <w:t>, hospital María Inmaculada, hospital comunal las Malvinas, Centro de salud Pueblo nuevo</w:t>
            </w:r>
            <w:r>
              <w:rPr>
                <w:rFonts w:ascii="Arial" w:eastAsia="Times New Roman" w:hAnsi="Arial" w:cs="Arial"/>
                <w:color w:val="000000"/>
                <w:sz w:val="18"/>
                <w:szCs w:val="20"/>
                <w:lang w:eastAsia="es-CO"/>
              </w:rPr>
              <w:t>.</w:t>
            </w:r>
          </w:p>
        </w:tc>
        <w:tc>
          <w:tcPr>
            <w:tcW w:w="1242"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color w:val="000000"/>
                <w:sz w:val="18"/>
                <w:szCs w:val="20"/>
                <w:lang w:eastAsia="es-CO"/>
              </w:rPr>
            </w:pPr>
            <w:r w:rsidRPr="00903A6C">
              <w:rPr>
                <w:rFonts w:ascii="Arial" w:eastAsia="Times New Roman" w:hAnsi="Arial" w:cs="Arial"/>
                <w:color w:val="000000"/>
                <w:sz w:val="18"/>
                <w:szCs w:val="20"/>
                <w:lang w:eastAsia="es-CO"/>
              </w:rPr>
              <w:t>Florencia es el centro donde se ubica los mandatarios de todo el departamento, pues es la capital del Caquetá, también en él se ubica la alcaldía más grande del departamento que es la de Florencia</w:t>
            </w:r>
            <w:r>
              <w:rPr>
                <w:rFonts w:ascii="Arial" w:eastAsia="Times New Roman" w:hAnsi="Arial" w:cs="Arial"/>
                <w:color w:val="000000"/>
                <w:sz w:val="18"/>
                <w:szCs w:val="20"/>
                <w:lang w:eastAsia="es-CO"/>
              </w:rPr>
              <w:t>.</w:t>
            </w:r>
          </w:p>
        </w:tc>
        <w:tc>
          <w:tcPr>
            <w:tcW w:w="1594"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color w:val="000000"/>
                <w:sz w:val="18"/>
                <w:szCs w:val="20"/>
                <w:lang w:eastAsia="es-CO"/>
              </w:rPr>
            </w:pPr>
            <w:r w:rsidRPr="00903A6C">
              <w:rPr>
                <w:rFonts w:ascii="Arial" w:eastAsia="Times New Roman" w:hAnsi="Arial" w:cs="Arial"/>
                <w:color w:val="000000"/>
                <w:sz w:val="18"/>
                <w:szCs w:val="20"/>
                <w:lang w:eastAsia="es-CO"/>
              </w:rPr>
              <w:t>Se le ha dado prioridad a la población vulnerable, la cual ha sido atendida por el bienestar familiar y otras ONG como ASOMUJER.</w:t>
            </w:r>
          </w:p>
        </w:tc>
        <w:tc>
          <w:tcPr>
            <w:tcW w:w="1418" w:type="dxa"/>
            <w:tcBorders>
              <w:top w:val="none" w:sz="0" w:space="0" w:color="auto"/>
              <w:left w:val="none" w:sz="0" w:space="0" w:color="auto"/>
              <w:bottom w:val="none" w:sz="0" w:space="0" w:color="auto"/>
              <w:right w:val="none" w:sz="0" w:space="0" w:color="auto"/>
            </w:tcBorders>
          </w:tcPr>
          <w:p w:rsidR="000E5B62" w:rsidRPr="00C362A1" w:rsidRDefault="000E5B62" w:rsidP="000E5B62">
            <w:pPr>
              <w:jc w:val="both"/>
              <w:cnfStyle w:val="000000100000"/>
              <w:rPr>
                <w:rFonts w:ascii="Arial" w:eastAsia="Times New Roman" w:hAnsi="Arial" w:cs="Arial"/>
                <w:color w:val="000000"/>
                <w:sz w:val="18"/>
                <w:szCs w:val="20"/>
                <w:lang w:eastAsia="es-CO"/>
              </w:rPr>
            </w:pPr>
            <w:r w:rsidRPr="00903A6C">
              <w:rPr>
                <w:rFonts w:ascii="Arial" w:eastAsia="Times New Roman" w:hAnsi="Arial" w:cs="Arial"/>
                <w:color w:val="000000"/>
                <w:sz w:val="18"/>
                <w:szCs w:val="20"/>
                <w:lang w:eastAsia="es-CO"/>
              </w:rPr>
              <w:t>Es un municipio muy rico en recursos naturales, tenemos muy buenas fuentes hídricas, bastante flora y fauna, sin embargo existe contaminación en la quebrada que atraviesa la ciudad. “la Perdiz.</w:t>
            </w:r>
          </w:p>
        </w:tc>
      </w:tr>
      <w:tr w:rsidR="000E5B62" w:rsidRPr="00C362A1" w:rsidTr="000E5B62">
        <w:trPr>
          <w:trHeight w:val="2707"/>
        </w:trPr>
        <w:tc>
          <w:tcPr>
            <w:cnfStyle w:val="001000000000"/>
            <w:tcW w:w="1276" w:type="dxa"/>
            <w:tcBorders>
              <w:left w:val="none" w:sz="0" w:space="0" w:color="auto"/>
              <w:right w:val="none" w:sz="0" w:space="0" w:color="auto"/>
            </w:tcBorders>
            <w:vAlign w:val="center"/>
          </w:tcPr>
          <w:p w:rsidR="000E5B62" w:rsidRPr="00C362A1" w:rsidRDefault="000E5B62" w:rsidP="000E5B62">
            <w:pPr>
              <w:jc w:val="center"/>
              <w:rPr>
                <w:rFonts w:ascii="Arial" w:eastAsia="Times New Roman" w:hAnsi="Arial" w:cs="Arial"/>
                <w:sz w:val="18"/>
                <w:szCs w:val="20"/>
                <w:lang w:eastAsia="es-CO"/>
              </w:rPr>
            </w:pPr>
            <w:r w:rsidRPr="00C362A1">
              <w:rPr>
                <w:rFonts w:ascii="Arial" w:eastAsia="Times New Roman" w:hAnsi="Arial" w:cs="Arial"/>
                <w:sz w:val="18"/>
                <w:szCs w:val="20"/>
                <w:lang w:eastAsia="es-CO"/>
              </w:rPr>
              <w:lastRenderedPageBreak/>
              <w:t>Ibagué-Tolima</w:t>
            </w:r>
          </w:p>
        </w:tc>
        <w:tc>
          <w:tcPr>
            <w:tcW w:w="1667"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A376ED">
              <w:rPr>
                <w:rFonts w:ascii="Arial" w:eastAsia="Times New Roman" w:hAnsi="Arial" w:cs="Arial"/>
                <w:color w:val="000000"/>
                <w:sz w:val="18"/>
                <w:szCs w:val="20"/>
                <w:lang w:eastAsia="es-CO"/>
              </w:rPr>
              <w:t>Según los estudios para la revisión y ajuste del plan del ordenamiento, la comuna 9 tiene 13 instituciones educativas oficiales, de las cuales, 7 son de educación primaria y 4 de educación secundaria y cuenta con 22 instituciones de tipo privado de las cuales 13 es de primaria 3 de secundaria, 4 preescolar y dos primarias secundaria.</w:t>
            </w:r>
          </w:p>
        </w:tc>
        <w:tc>
          <w:tcPr>
            <w:tcW w:w="1027"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A376ED">
              <w:rPr>
                <w:rFonts w:ascii="Arial" w:eastAsia="Times New Roman" w:hAnsi="Arial" w:cs="Arial"/>
                <w:color w:val="000000"/>
                <w:sz w:val="18"/>
                <w:szCs w:val="20"/>
                <w:lang w:eastAsia="es-CO"/>
              </w:rPr>
              <w:t xml:space="preserve">La comuna 9 pose 160 unidades clasificadas como “industria de las 2.424 que tiene el área urbana y que equivale el 6,6% del total urbano. También posee 870 unidades clasificadas como comercio y que equivale al 7,5% del total de unidades de comercio en el área urbana y posee 550 unidades clasificadas como </w:t>
            </w:r>
            <w:r w:rsidRPr="00A376ED">
              <w:rPr>
                <w:rFonts w:ascii="Arial" w:eastAsia="Times New Roman" w:hAnsi="Arial" w:cs="Arial"/>
                <w:color w:val="000000"/>
                <w:sz w:val="18"/>
                <w:szCs w:val="20"/>
                <w:lang w:eastAsia="es-CO"/>
              </w:rPr>
              <w:lastRenderedPageBreak/>
              <w:t>de servicios que equivale al 7,9% del total de unidades de servicios en el área urbana.</w:t>
            </w:r>
          </w:p>
        </w:tc>
        <w:tc>
          <w:tcPr>
            <w:tcW w:w="1241"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A376ED">
              <w:rPr>
                <w:rFonts w:ascii="Arial" w:eastAsia="Times New Roman" w:hAnsi="Arial" w:cs="Arial"/>
                <w:color w:val="000000"/>
                <w:sz w:val="18"/>
                <w:szCs w:val="20"/>
                <w:lang w:eastAsia="es-CO"/>
              </w:rPr>
              <w:lastRenderedPageBreak/>
              <w:t xml:space="preserve">Teniendo en cuenta el total de los casos presentados en cada año, la comuna 9 representaba el 10,87% de total de los delitos de impacto ocurridos en el área urbana de Ibagué en el año 2008, el 9,09% en el 2009, el 9,48% en el 2010 y el 10,80% en el 2011. Esto manifiesta que la tendencia de Casos de delitos de impacto en la comuna 9 se mantiene, y que existe un aumento gradual a la par del aumento del </w:t>
            </w:r>
            <w:r w:rsidRPr="00A376ED">
              <w:rPr>
                <w:rFonts w:ascii="Arial" w:eastAsia="Times New Roman" w:hAnsi="Arial" w:cs="Arial"/>
                <w:color w:val="000000"/>
                <w:sz w:val="18"/>
                <w:szCs w:val="20"/>
                <w:lang w:eastAsia="es-CO"/>
              </w:rPr>
              <w:lastRenderedPageBreak/>
              <w:t>total de delitos del municipio</w:t>
            </w:r>
            <w:r>
              <w:rPr>
                <w:rFonts w:ascii="Arial" w:eastAsia="Times New Roman" w:hAnsi="Arial" w:cs="Arial"/>
                <w:color w:val="000000"/>
                <w:sz w:val="18"/>
                <w:szCs w:val="20"/>
                <w:lang w:eastAsia="es-CO"/>
              </w:rPr>
              <w:t>.</w:t>
            </w:r>
          </w:p>
        </w:tc>
        <w:tc>
          <w:tcPr>
            <w:tcW w:w="1418"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Pr>
                <w:rFonts w:ascii="Arial" w:eastAsia="Times New Roman" w:hAnsi="Arial" w:cs="Arial"/>
                <w:color w:val="000000"/>
                <w:sz w:val="18"/>
                <w:szCs w:val="20"/>
                <w:lang w:eastAsia="es-CO"/>
              </w:rPr>
              <w:lastRenderedPageBreak/>
              <w:t>L</w:t>
            </w:r>
            <w:r w:rsidRPr="00A376ED">
              <w:rPr>
                <w:rFonts w:ascii="Arial" w:eastAsia="Times New Roman" w:hAnsi="Arial" w:cs="Arial"/>
                <w:color w:val="000000"/>
                <w:sz w:val="18"/>
                <w:szCs w:val="20"/>
                <w:lang w:eastAsia="es-CO"/>
              </w:rPr>
              <w:t xml:space="preserve">a distribución de barrios de acuerdo al estrato al que pertenecen, el 3,4% pertenecen al estrato uno, el 39,1% al 2, el 33,3% al 3, el 17,2% al estrato cuatro, el 5,7% al 5 y el 1,1% restante pertenece al estrato 6. Esta estratificación se debe principalmente a la ubicación y distribución de los barrios que la conforman, ya que los de mayores ingresos se ubican en zonas específicas de la comuna, además hay que tener en cuenta que en ella se sitúa parte de la zona industrial de la ciudad lo </w:t>
            </w:r>
            <w:r w:rsidRPr="00A376ED">
              <w:rPr>
                <w:rFonts w:ascii="Arial" w:eastAsia="Times New Roman" w:hAnsi="Arial" w:cs="Arial"/>
                <w:color w:val="000000"/>
                <w:sz w:val="18"/>
                <w:szCs w:val="20"/>
                <w:lang w:eastAsia="es-CO"/>
              </w:rPr>
              <w:lastRenderedPageBreak/>
              <w:t>que explicaría la existencia de un porcentaje significativo de estos barrios.</w:t>
            </w:r>
          </w:p>
        </w:tc>
        <w:tc>
          <w:tcPr>
            <w:tcW w:w="1417"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A376ED">
              <w:rPr>
                <w:rFonts w:ascii="Arial" w:eastAsia="Times New Roman" w:hAnsi="Arial" w:cs="Arial"/>
                <w:color w:val="000000"/>
                <w:sz w:val="18"/>
                <w:szCs w:val="20"/>
                <w:lang w:eastAsia="es-CO"/>
              </w:rPr>
              <w:lastRenderedPageBreak/>
              <w:t xml:space="preserve">Durante el 2011 y 2012 la población afiliada al régimen subsidiado en la comuna nueve disminuyó en 8,1% pasando de 5.342 afiliados en el 2009 a 4.911 en el 2010. Además, para el 2009 el 44,6% de los afiliados al SISBEN eran hombres mientras que el 55,4% restante eran mujeres. Para el año siguiente la cantidad total de afiliados hombres se redujo en un 5,8%. En el caso de las mujeres se presentó una reducción en la participación de 1,1 % y en el total de afiliadas de un </w:t>
            </w:r>
            <w:r w:rsidRPr="00A376ED">
              <w:rPr>
                <w:rFonts w:ascii="Arial" w:eastAsia="Times New Roman" w:hAnsi="Arial" w:cs="Arial"/>
                <w:color w:val="000000"/>
                <w:sz w:val="18"/>
                <w:szCs w:val="20"/>
                <w:lang w:eastAsia="es-CO"/>
              </w:rPr>
              <w:lastRenderedPageBreak/>
              <w:t>9,9%.</w:t>
            </w:r>
          </w:p>
        </w:tc>
        <w:tc>
          <w:tcPr>
            <w:tcW w:w="1551"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A376ED">
              <w:rPr>
                <w:rFonts w:ascii="Arial" w:eastAsia="Times New Roman" w:hAnsi="Arial" w:cs="Arial"/>
                <w:color w:val="000000"/>
                <w:sz w:val="18"/>
                <w:szCs w:val="20"/>
                <w:lang w:eastAsia="es-CO"/>
              </w:rPr>
              <w:lastRenderedPageBreak/>
              <w:t xml:space="preserve">La comuna 9 respecto a la investigación que se desarrolla muestra un buen sistema de transporte urbano en la medida que los barrios que se encuentran sobre la margen de la vía que del centro del municipio de Ibagué conduce a la ciudad capital, de otra parte está la carrera quinta que permite la accesibilidad a uno de los sectores más poblados de la comuna, adicional se encuentra la fracción de la vía nacional que recorre un perímetro de este sector. Adicionalmente se tiene proyectado la construcción de las calles 103, </w:t>
            </w:r>
            <w:r w:rsidRPr="00A376ED">
              <w:rPr>
                <w:rFonts w:ascii="Arial" w:eastAsia="Times New Roman" w:hAnsi="Arial" w:cs="Arial"/>
                <w:color w:val="000000"/>
                <w:sz w:val="18"/>
                <w:szCs w:val="20"/>
                <w:lang w:eastAsia="es-CO"/>
              </w:rPr>
              <w:lastRenderedPageBreak/>
              <w:t>134 y 145, que permitirán la interconexión con las comunas 8 y 7 respectivamente.</w:t>
            </w:r>
          </w:p>
        </w:tc>
        <w:tc>
          <w:tcPr>
            <w:tcW w:w="1142" w:type="dxa"/>
          </w:tcPr>
          <w:p w:rsidR="000E5B62" w:rsidRPr="00A376ED" w:rsidRDefault="000E5B62" w:rsidP="000E5B62">
            <w:pPr>
              <w:jc w:val="both"/>
              <w:cnfStyle w:val="000000000000"/>
              <w:rPr>
                <w:rFonts w:ascii="Arial" w:eastAsia="Times New Roman" w:hAnsi="Arial" w:cs="Arial"/>
                <w:color w:val="000000"/>
                <w:sz w:val="18"/>
                <w:szCs w:val="20"/>
                <w:lang w:eastAsia="es-CO"/>
              </w:rPr>
            </w:pPr>
            <w:r w:rsidRPr="00A376ED">
              <w:rPr>
                <w:rFonts w:ascii="Arial" w:eastAsia="Times New Roman" w:hAnsi="Arial" w:cs="Arial"/>
                <w:color w:val="000000"/>
                <w:sz w:val="18"/>
                <w:szCs w:val="20"/>
                <w:lang w:eastAsia="es-CO"/>
              </w:rPr>
              <w:lastRenderedPageBreak/>
              <w:t>En la comuna 9 se encuentran 3 de 20 centros de salud que hay en la ciudad, cuenta con una clínica dentro de sus perímetros  y no presenta unidades intermedias de salud.</w:t>
            </w:r>
          </w:p>
          <w:p w:rsidR="000E5B62" w:rsidRPr="00C362A1" w:rsidRDefault="000E5B62" w:rsidP="000E5B62">
            <w:pPr>
              <w:jc w:val="both"/>
              <w:cnfStyle w:val="000000000000"/>
              <w:rPr>
                <w:rFonts w:ascii="Arial" w:eastAsia="Times New Roman" w:hAnsi="Arial" w:cs="Arial"/>
                <w:color w:val="000000"/>
                <w:sz w:val="18"/>
                <w:szCs w:val="20"/>
                <w:lang w:eastAsia="es-CO"/>
              </w:rPr>
            </w:pPr>
            <w:r w:rsidRPr="00A376ED">
              <w:rPr>
                <w:rFonts w:ascii="Arial" w:eastAsia="Times New Roman" w:hAnsi="Arial" w:cs="Arial"/>
                <w:color w:val="000000"/>
                <w:sz w:val="18"/>
                <w:szCs w:val="20"/>
                <w:lang w:eastAsia="es-CO"/>
              </w:rPr>
              <w:t xml:space="preserve">Se investiga a su vez que el área de cobertura para los centros de salud es adecuada, sin embargo es de aclarar que en algunos casos el acceso a estos servicios de salud es dificultoso </w:t>
            </w:r>
            <w:r w:rsidRPr="00A376ED">
              <w:rPr>
                <w:rFonts w:ascii="Arial" w:eastAsia="Times New Roman" w:hAnsi="Arial" w:cs="Arial"/>
                <w:color w:val="000000"/>
                <w:sz w:val="18"/>
                <w:szCs w:val="20"/>
                <w:lang w:eastAsia="es-CO"/>
              </w:rPr>
              <w:lastRenderedPageBreak/>
              <w:t>para las personas que habitan en las áreas limítrofes de la comuna.</w:t>
            </w:r>
          </w:p>
        </w:tc>
        <w:tc>
          <w:tcPr>
            <w:tcW w:w="1242"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Pr>
                <w:rFonts w:ascii="Arial" w:eastAsia="Times New Roman" w:hAnsi="Arial" w:cs="Arial"/>
                <w:color w:val="000000"/>
                <w:sz w:val="18"/>
                <w:szCs w:val="20"/>
                <w:lang w:eastAsia="es-CO"/>
              </w:rPr>
              <w:lastRenderedPageBreak/>
              <w:t>L</w:t>
            </w:r>
            <w:r w:rsidRPr="00A376ED">
              <w:rPr>
                <w:rFonts w:ascii="Arial" w:eastAsia="Times New Roman" w:hAnsi="Arial" w:cs="Arial"/>
                <w:color w:val="000000"/>
                <w:sz w:val="18"/>
                <w:szCs w:val="20"/>
                <w:lang w:eastAsia="es-CO"/>
              </w:rPr>
              <w:t xml:space="preserve">os mecanismos de participación ciudadana, el 95% de los encuestados manifestó no pertenecer a ningún grupo u organización comunitaria, y solo el 35% considera que la participación ciudadana en la comuna ha permitido a organizaciones y líderes hablar de igual a igual con autoridades locales. En relación con la transparencia, el 74% de las personas entrevistadas opina que la </w:t>
            </w:r>
            <w:r w:rsidRPr="00A376ED">
              <w:rPr>
                <w:rFonts w:ascii="Arial" w:eastAsia="Times New Roman" w:hAnsi="Arial" w:cs="Arial"/>
                <w:color w:val="000000"/>
                <w:sz w:val="18"/>
                <w:szCs w:val="20"/>
                <w:lang w:eastAsia="es-CO"/>
              </w:rPr>
              <w:lastRenderedPageBreak/>
              <w:t>participación no ha logrado reducir el clientelismo y la politiquería, y el 75% afirma que no ha logrado reducir la corrupción.</w:t>
            </w:r>
          </w:p>
        </w:tc>
        <w:tc>
          <w:tcPr>
            <w:tcW w:w="1594"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A376ED">
              <w:rPr>
                <w:rFonts w:ascii="Arial" w:eastAsia="Times New Roman" w:hAnsi="Arial" w:cs="Arial"/>
                <w:color w:val="000000"/>
                <w:sz w:val="18"/>
                <w:szCs w:val="20"/>
                <w:lang w:eastAsia="es-CO"/>
              </w:rPr>
              <w:lastRenderedPageBreak/>
              <w:t xml:space="preserve">En la comuna 9 se aplican actualmente una serie de estrategias de inclusión social que abarcan aspectos como: los derechos de las niñas, niños, las y los adolescentes sujetos prioritarios de derecho, mujer con igualdad de derechos y oportunidades y equidad de género, los jóvenes construyen su futuro: jóvenes a lo bien, el adulto mayor es un ciudadano de primera, atención integral al habitante de la calle, la discapacidad no es incapacidad, atención integral para familias en situación de desplazamiento, apoyo a programas nacionales para </w:t>
            </w:r>
            <w:r w:rsidRPr="00A376ED">
              <w:rPr>
                <w:rFonts w:ascii="Arial" w:eastAsia="Times New Roman" w:hAnsi="Arial" w:cs="Arial"/>
                <w:color w:val="000000"/>
                <w:sz w:val="18"/>
                <w:szCs w:val="20"/>
                <w:lang w:eastAsia="es-CO"/>
              </w:rPr>
              <w:lastRenderedPageBreak/>
              <w:t>la superación de la pobreza y población vulnerables, comunidades étnicas, plan estratégico de cooperación internacional y responsabilidad social empresarial para la equidad social y la reducción de la pobreza.</w:t>
            </w:r>
          </w:p>
        </w:tc>
        <w:tc>
          <w:tcPr>
            <w:tcW w:w="1418" w:type="dxa"/>
          </w:tcPr>
          <w:p w:rsidR="000E5B62" w:rsidRPr="00C362A1" w:rsidRDefault="000E5B62" w:rsidP="000E5B62">
            <w:pPr>
              <w:jc w:val="both"/>
              <w:cnfStyle w:val="000000000000"/>
              <w:rPr>
                <w:rFonts w:ascii="Arial" w:eastAsia="Times New Roman" w:hAnsi="Arial" w:cs="Arial"/>
                <w:color w:val="000000"/>
                <w:sz w:val="18"/>
                <w:szCs w:val="20"/>
                <w:lang w:eastAsia="es-CO"/>
              </w:rPr>
            </w:pPr>
            <w:r w:rsidRPr="00A376ED">
              <w:rPr>
                <w:rFonts w:ascii="Arial" w:eastAsia="Times New Roman" w:hAnsi="Arial" w:cs="Arial"/>
                <w:color w:val="000000"/>
                <w:sz w:val="18"/>
                <w:szCs w:val="20"/>
                <w:lang w:eastAsia="es-CO"/>
              </w:rPr>
              <w:lastRenderedPageBreak/>
              <w:t xml:space="preserve">El tratamiento que afecta la mayor parte del suelo de la comuna 9 es el de “Mejoramiento Integral” que representa 60,41% el total de la misma, En segundo lugar, se ubica el tratamiento de “Desarrollo Urbano” que afecta el 16,25% En tercer lugar está el tratamiento de “Consolidación por Estabilización” que representa una afectación del 7,60% del suelo total de la comuna; En cuarto lugar está el tratamiento de “Conservación Ambiental” que representa el 10,68% del suelo de la </w:t>
            </w:r>
            <w:r w:rsidRPr="00A376ED">
              <w:rPr>
                <w:rFonts w:ascii="Arial" w:eastAsia="Times New Roman" w:hAnsi="Arial" w:cs="Arial"/>
                <w:color w:val="000000"/>
                <w:sz w:val="18"/>
                <w:szCs w:val="20"/>
                <w:lang w:eastAsia="es-CO"/>
              </w:rPr>
              <w:lastRenderedPageBreak/>
              <w:t>comuna. En el quinto lugar está el tratamiento “Consolidación por implementación” que representa el 6,30% del suelo de la comuna.</w:t>
            </w:r>
          </w:p>
        </w:tc>
      </w:tr>
    </w:tbl>
    <w:p w:rsidR="00C362A1" w:rsidRPr="00C362A1" w:rsidRDefault="00C362A1" w:rsidP="000E5B62">
      <w:pPr>
        <w:jc w:val="both"/>
        <w:rPr>
          <w:rFonts w:ascii="Arial" w:hAnsi="Arial" w:cs="Arial"/>
          <w:b/>
          <w:bCs/>
          <w:sz w:val="24"/>
        </w:rPr>
      </w:pPr>
    </w:p>
    <w:sectPr w:rsidR="00C362A1" w:rsidRPr="00C362A1" w:rsidSect="000E5B62">
      <w:headerReference w:type="default" r:id="rId16"/>
      <w:pgSz w:w="15840" w:h="12240" w:orient="landscape"/>
      <w:pgMar w:top="1701" w:right="1701" w:bottom="22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46B" w:rsidRDefault="0054546B" w:rsidP="002F43B0">
      <w:pPr>
        <w:spacing w:after="0" w:line="240" w:lineRule="auto"/>
      </w:pPr>
      <w:r>
        <w:separator/>
      </w:r>
    </w:p>
  </w:endnote>
  <w:endnote w:type="continuationSeparator" w:id="0">
    <w:p w:rsidR="0054546B" w:rsidRDefault="0054546B" w:rsidP="002F4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46B" w:rsidRDefault="0054546B" w:rsidP="002F43B0">
      <w:pPr>
        <w:spacing w:after="0" w:line="240" w:lineRule="auto"/>
      </w:pPr>
      <w:r>
        <w:separator/>
      </w:r>
    </w:p>
  </w:footnote>
  <w:footnote w:type="continuationSeparator" w:id="0">
    <w:p w:rsidR="0054546B" w:rsidRDefault="0054546B" w:rsidP="002F4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3B0" w:rsidRDefault="002F43B0">
    <w:pPr>
      <w:pStyle w:val="Encabezado"/>
    </w:pPr>
    <w:r>
      <w:rPr>
        <w:noProof/>
        <w:lang w:eastAsia="es-CO"/>
      </w:rPr>
      <w:drawing>
        <wp:anchor distT="0" distB="0" distL="114300" distR="114300" simplePos="0" relativeHeight="251658240" behindDoc="0" locked="0" layoutInCell="1" allowOverlap="1">
          <wp:simplePos x="0" y="0"/>
          <wp:positionH relativeFrom="column">
            <wp:posOffset>3703955</wp:posOffset>
          </wp:positionH>
          <wp:positionV relativeFrom="paragraph">
            <wp:posOffset>-316865</wp:posOffset>
          </wp:positionV>
          <wp:extent cx="1843405" cy="621665"/>
          <wp:effectExtent l="19050" t="0" r="4445" b="0"/>
          <wp:wrapThrough wrapText="bothSides">
            <wp:wrapPolygon edited="0">
              <wp:start x="-223" y="0"/>
              <wp:lineTo x="-223" y="21181"/>
              <wp:lineTo x="21652" y="21181"/>
              <wp:lineTo x="21652" y="0"/>
              <wp:lineTo x="-223" y="0"/>
            </wp:wrapPolygon>
          </wp:wrapThrough>
          <wp:docPr id="1" name="0 Imagen" descr="logo_un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ad.gif"/>
                  <pic:cNvPicPr/>
                </pic:nvPicPr>
                <pic:blipFill>
                  <a:blip r:embed="rId1"/>
                  <a:stretch>
                    <a:fillRect/>
                  </a:stretch>
                </pic:blipFill>
                <pic:spPr>
                  <a:xfrm>
                    <a:off x="0" y="0"/>
                    <a:ext cx="1843405" cy="62166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31CD"/>
    <w:multiLevelType w:val="hybridMultilevel"/>
    <w:tmpl w:val="82A8DBE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0E352800"/>
    <w:multiLevelType w:val="hybridMultilevel"/>
    <w:tmpl w:val="70FCECF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2D9C631A"/>
    <w:multiLevelType w:val="hybridMultilevel"/>
    <w:tmpl w:val="037E5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1D910AA"/>
    <w:multiLevelType w:val="hybridMultilevel"/>
    <w:tmpl w:val="168A10A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5A16528C"/>
    <w:multiLevelType w:val="hybridMultilevel"/>
    <w:tmpl w:val="0352C45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31746">
      <o:colormenu v:ext="edit" strokecolor="none [3213]"/>
    </o:shapedefaults>
  </w:hdrShapeDefaults>
  <w:footnotePr>
    <w:footnote w:id="-1"/>
    <w:footnote w:id="0"/>
  </w:footnotePr>
  <w:endnotePr>
    <w:endnote w:id="-1"/>
    <w:endnote w:id="0"/>
  </w:endnotePr>
  <w:compat/>
  <w:rsids>
    <w:rsidRoot w:val="002F43B0"/>
    <w:rsid w:val="00035D64"/>
    <w:rsid w:val="000512C4"/>
    <w:rsid w:val="0006019F"/>
    <w:rsid w:val="000B4873"/>
    <w:rsid w:val="000E5B62"/>
    <w:rsid w:val="00132D4B"/>
    <w:rsid w:val="00133A9E"/>
    <w:rsid w:val="00234F3C"/>
    <w:rsid w:val="00235061"/>
    <w:rsid w:val="002440CB"/>
    <w:rsid w:val="00245844"/>
    <w:rsid w:val="002534DD"/>
    <w:rsid w:val="00257175"/>
    <w:rsid w:val="002B3418"/>
    <w:rsid w:val="002C5B98"/>
    <w:rsid w:val="002D3941"/>
    <w:rsid w:val="002F43B0"/>
    <w:rsid w:val="003175E8"/>
    <w:rsid w:val="003A5BE8"/>
    <w:rsid w:val="003F3EBC"/>
    <w:rsid w:val="00407207"/>
    <w:rsid w:val="00420E1A"/>
    <w:rsid w:val="004842CC"/>
    <w:rsid w:val="004A2564"/>
    <w:rsid w:val="004B3CEB"/>
    <w:rsid w:val="004C169D"/>
    <w:rsid w:val="004C4672"/>
    <w:rsid w:val="004D2653"/>
    <w:rsid w:val="004D5728"/>
    <w:rsid w:val="00543543"/>
    <w:rsid w:val="0054546B"/>
    <w:rsid w:val="005815B6"/>
    <w:rsid w:val="005A1BF1"/>
    <w:rsid w:val="005C1BC9"/>
    <w:rsid w:val="005D4A94"/>
    <w:rsid w:val="006032AA"/>
    <w:rsid w:val="00636078"/>
    <w:rsid w:val="00672141"/>
    <w:rsid w:val="0067288E"/>
    <w:rsid w:val="006835EB"/>
    <w:rsid w:val="006B5FA5"/>
    <w:rsid w:val="006D3C6C"/>
    <w:rsid w:val="006E7708"/>
    <w:rsid w:val="00700EDC"/>
    <w:rsid w:val="00754C2E"/>
    <w:rsid w:val="00770A68"/>
    <w:rsid w:val="007A1D2B"/>
    <w:rsid w:val="007D2498"/>
    <w:rsid w:val="007E7B25"/>
    <w:rsid w:val="007F1840"/>
    <w:rsid w:val="00801D48"/>
    <w:rsid w:val="00826B18"/>
    <w:rsid w:val="008350FC"/>
    <w:rsid w:val="008A6C50"/>
    <w:rsid w:val="008E4B1A"/>
    <w:rsid w:val="00903A6C"/>
    <w:rsid w:val="00906BAE"/>
    <w:rsid w:val="009128A6"/>
    <w:rsid w:val="00940481"/>
    <w:rsid w:val="00952874"/>
    <w:rsid w:val="00975269"/>
    <w:rsid w:val="00976FF3"/>
    <w:rsid w:val="009A1F97"/>
    <w:rsid w:val="009D4F90"/>
    <w:rsid w:val="00A376ED"/>
    <w:rsid w:val="00A40590"/>
    <w:rsid w:val="00A915ED"/>
    <w:rsid w:val="00AF19CF"/>
    <w:rsid w:val="00B043E7"/>
    <w:rsid w:val="00B932C6"/>
    <w:rsid w:val="00BD205E"/>
    <w:rsid w:val="00C16F2E"/>
    <w:rsid w:val="00C27081"/>
    <w:rsid w:val="00C362A1"/>
    <w:rsid w:val="00C37A9F"/>
    <w:rsid w:val="00C54215"/>
    <w:rsid w:val="00C76F63"/>
    <w:rsid w:val="00CC2803"/>
    <w:rsid w:val="00D11191"/>
    <w:rsid w:val="00D3223D"/>
    <w:rsid w:val="00D467C3"/>
    <w:rsid w:val="00DE522E"/>
    <w:rsid w:val="00DE6B27"/>
    <w:rsid w:val="00E75CF4"/>
    <w:rsid w:val="00EC3424"/>
    <w:rsid w:val="00EF42D9"/>
    <w:rsid w:val="00F37562"/>
    <w:rsid w:val="00F52052"/>
    <w:rsid w:val="00F91FD7"/>
    <w:rsid w:val="00FB2CE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strokecolor="none [3213]"/>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F43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F43B0"/>
  </w:style>
  <w:style w:type="paragraph" w:styleId="Piedepgina">
    <w:name w:val="footer"/>
    <w:basedOn w:val="Normal"/>
    <w:link w:val="PiedepginaCar"/>
    <w:uiPriority w:val="99"/>
    <w:semiHidden/>
    <w:unhideWhenUsed/>
    <w:rsid w:val="002F43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F43B0"/>
  </w:style>
  <w:style w:type="paragraph" w:styleId="Textodeglobo">
    <w:name w:val="Balloon Text"/>
    <w:basedOn w:val="Normal"/>
    <w:link w:val="TextodegloboCar"/>
    <w:uiPriority w:val="99"/>
    <w:semiHidden/>
    <w:unhideWhenUsed/>
    <w:rsid w:val="002F43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43B0"/>
    <w:rPr>
      <w:rFonts w:ascii="Tahoma" w:hAnsi="Tahoma" w:cs="Tahoma"/>
      <w:sz w:val="16"/>
      <w:szCs w:val="16"/>
    </w:rPr>
  </w:style>
  <w:style w:type="paragraph" w:styleId="Prrafodelista">
    <w:name w:val="List Paragraph"/>
    <w:basedOn w:val="Normal"/>
    <w:uiPriority w:val="34"/>
    <w:qFormat/>
    <w:rsid w:val="000512C4"/>
    <w:pPr>
      <w:ind w:left="720"/>
      <w:contextualSpacing/>
    </w:pPr>
  </w:style>
  <w:style w:type="table" w:styleId="Tablaconcuadrcula">
    <w:name w:val="Table Grid"/>
    <w:basedOn w:val="Tablanormal"/>
    <w:uiPriority w:val="39"/>
    <w:rsid w:val="00D32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3223D"/>
    <w:pPr>
      <w:autoSpaceDE w:val="0"/>
      <w:autoSpaceDN w:val="0"/>
      <w:adjustRightInd w:val="0"/>
      <w:spacing w:after="0" w:line="240" w:lineRule="auto"/>
    </w:pPr>
    <w:rPr>
      <w:rFonts w:ascii="Arial" w:hAnsi="Arial" w:cs="Arial"/>
      <w:color w:val="000000"/>
      <w:sz w:val="24"/>
      <w:szCs w:val="24"/>
    </w:rPr>
  </w:style>
  <w:style w:type="table" w:customStyle="1" w:styleId="Sombreadomedio1-nfasis11">
    <w:name w:val="Sombreado medio 1 - Énfasis 11"/>
    <w:basedOn w:val="Tablanormal"/>
    <w:uiPriority w:val="63"/>
    <w:rsid w:val="009D4F9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Cuadrculaclara1">
    <w:name w:val="Cuadrícula clara1"/>
    <w:basedOn w:val="Tablanormal"/>
    <w:uiPriority w:val="62"/>
    <w:rsid w:val="009D4F9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uadrculamedia11">
    <w:name w:val="Cuadrícula media 11"/>
    <w:basedOn w:val="Tablanormal"/>
    <w:uiPriority w:val="67"/>
    <w:rsid w:val="009D4F9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9D4F9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C362A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Hipervnculo">
    <w:name w:val="Hyperlink"/>
    <w:basedOn w:val="Fuentedeprrafopredeter"/>
    <w:uiPriority w:val="99"/>
    <w:unhideWhenUsed/>
    <w:rsid w:val="00826B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2593174">
      <w:bodyDiv w:val="1"/>
      <w:marLeft w:val="0"/>
      <w:marRight w:val="0"/>
      <w:marTop w:val="0"/>
      <w:marBottom w:val="0"/>
      <w:divBdr>
        <w:top w:val="none" w:sz="0" w:space="0" w:color="auto"/>
        <w:left w:val="none" w:sz="0" w:space="0" w:color="auto"/>
        <w:bottom w:val="none" w:sz="0" w:space="0" w:color="auto"/>
        <w:right w:val="none" w:sz="0" w:space="0" w:color="auto"/>
      </w:divBdr>
    </w:div>
    <w:div w:id="522010785">
      <w:bodyDiv w:val="1"/>
      <w:marLeft w:val="0"/>
      <w:marRight w:val="0"/>
      <w:marTop w:val="0"/>
      <w:marBottom w:val="0"/>
      <w:divBdr>
        <w:top w:val="none" w:sz="0" w:space="0" w:color="auto"/>
        <w:left w:val="none" w:sz="0" w:space="0" w:color="auto"/>
        <w:bottom w:val="none" w:sz="0" w:space="0" w:color="auto"/>
        <w:right w:val="none" w:sz="0" w:space="0" w:color="auto"/>
      </w:divBdr>
    </w:div>
    <w:div w:id="792024009">
      <w:bodyDiv w:val="1"/>
      <w:marLeft w:val="0"/>
      <w:marRight w:val="0"/>
      <w:marTop w:val="0"/>
      <w:marBottom w:val="0"/>
      <w:divBdr>
        <w:top w:val="none" w:sz="0" w:space="0" w:color="auto"/>
        <w:left w:val="none" w:sz="0" w:space="0" w:color="auto"/>
        <w:bottom w:val="none" w:sz="0" w:space="0" w:color="auto"/>
        <w:right w:val="none" w:sz="0" w:space="0" w:color="auto"/>
      </w:divBdr>
    </w:div>
    <w:div w:id="8823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ali" TargetMode="External"/><Relationship Id="rId13" Type="http://schemas.openxmlformats.org/officeDocument/2006/relationships/hyperlink" Target="http://es.wikipedia.org/wiki/Palmir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wikipedia.org/wiki/Palmira" TargetMode="External"/><Relationship Id="rId12" Type="http://schemas.openxmlformats.org/officeDocument/2006/relationships/hyperlink" Target="http://es.wikipedia.org/wiki/Prader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wikipedia.org/wiki/Florida" TargetMode="External"/><Relationship Id="rId5" Type="http://schemas.openxmlformats.org/officeDocument/2006/relationships/footnotes" Target="footnotes.xml"/><Relationship Id="rId15" Type="http://schemas.openxmlformats.org/officeDocument/2006/relationships/hyperlink" Target="http://es.wikipedia.org/wiki/R%C3%ADo_Cauca" TargetMode="External"/><Relationship Id="rId10" Type="http://schemas.openxmlformats.org/officeDocument/2006/relationships/hyperlink" Target="http://es.wikipedia.org/wiki/Cali" TargetMode="External"/><Relationship Id="rId4" Type="http://schemas.openxmlformats.org/officeDocument/2006/relationships/webSettings" Target="webSettings.xml"/><Relationship Id="rId9" Type="http://schemas.openxmlformats.org/officeDocument/2006/relationships/hyperlink" Target="http://es.wikipedia.org/wiki/Valle_del_Cauca" TargetMode="External"/><Relationship Id="rId14" Type="http://schemas.openxmlformats.org/officeDocument/2006/relationships/hyperlink" Target="http://es.wikipedia.org/wiki/Ca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1511</Words>
  <Characters>8315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JOTA</dc:creator>
  <cp:lastModifiedBy>Murillo Vargas</cp:lastModifiedBy>
  <cp:revision>2</cp:revision>
  <cp:lastPrinted>2013-03-18T23:48:00Z</cp:lastPrinted>
  <dcterms:created xsi:type="dcterms:W3CDTF">2013-05-28T04:25:00Z</dcterms:created>
  <dcterms:modified xsi:type="dcterms:W3CDTF">2013-05-28T04:25:00Z</dcterms:modified>
</cp:coreProperties>
</file>