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E5" w:rsidRDefault="00380DF7" w:rsidP="004B6DE5">
      <w:pPr>
        <w:jc w:val="both"/>
        <w:rPr>
          <w:rFonts w:ascii="Andalus" w:hAnsi="Andalus" w:cs="Andalus"/>
          <w:b/>
          <w:i/>
          <w:color w:val="000000" w:themeColor="text1"/>
          <w:sz w:val="48"/>
        </w:rPr>
      </w:pPr>
      <w:r w:rsidRPr="004B6DE5">
        <w:rPr>
          <w:rFonts w:ascii="Andalus" w:hAnsi="Andalus" w:cs="Andalus"/>
          <w:b/>
          <w:i/>
          <w:color w:val="000000" w:themeColor="text1"/>
          <w:sz w:val="48"/>
        </w:rPr>
        <w:t>L’arresto dei girondini</w:t>
      </w:r>
    </w:p>
    <w:p w:rsidR="004B6DE5" w:rsidRDefault="00FD5B64" w:rsidP="004B6DE5">
      <w:pPr>
        <w:spacing w:after="0"/>
        <w:jc w:val="both"/>
        <w:rPr>
          <w:rFonts w:ascii="Andalus" w:hAnsi="Andalus" w:cs="Andalus"/>
          <w:b/>
          <w:i/>
          <w:color w:val="000000" w:themeColor="text1"/>
          <w:sz w:val="48"/>
        </w:rPr>
      </w:pPr>
      <w:r w:rsidRPr="004D5F4E">
        <w:rPr>
          <w:rFonts w:ascii="Verdana" w:hAnsi="Verdana" w:cs="Andalus"/>
        </w:rPr>
        <w:t xml:space="preserve">Su questi fatti circolano diverse versioni, </w:t>
      </w:r>
      <w:r w:rsidR="001B71D3" w:rsidRPr="004D5F4E">
        <w:rPr>
          <w:rFonts w:ascii="Verdana" w:hAnsi="Verdana" w:cs="Andalus"/>
        </w:rPr>
        <w:t xml:space="preserve">che </w:t>
      </w:r>
      <w:r w:rsidRPr="004D5F4E">
        <w:rPr>
          <w:rFonts w:ascii="Verdana" w:hAnsi="Verdana" w:cs="Andalus"/>
        </w:rPr>
        <w:t>all’</w:t>
      </w:r>
      <w:r w:rsidR="00343363" w:rsidRPr="004D5F4E">
        <w:rPr>
          <w:rFonts w:ascii="Verdana" w:hAnsi="Verdana" w:cs="Andalus"/>
        </w:rPr>
        <w:t>epoca</w:t>
      </w:r>
      <w:r w:rsidR="001B71D3" w:rsidRPr="004D5F4E">
        <w:rPr>
          <w:rFonts w:ascii="Verdana" w:hAnsi="Verdana" w:cs="Andalus"/>
        </w:rPr>
        <w:t xml:space="preserve"> erano</w:t>
      </w:r>
      <w:r w:rsidR="00ED6C62">
        <w:rPr>
          <w:rFonts w:ascii="Verdana" w:hAnsi="Verdana" w:cs="Andalus"/>
        </w:rPr>
        <w:t xml:space="preserve"> dirette da</w:t>
      </w:r>
      <w:r w:rsidR="00343363" w:rsidRPr="004D5F4E">
        <w:rPr>
          <w:rFonts w:ascii="Verdana" w:hAnsi="Verdana" w:cs="Andalus"/>
        </w:rPr>
        <w:t xml:space="preserve"> </w:t>
      </w:r>
      <w:r w:rsidR="001B71D3" w:rsidRPr="004D5F4E">
        <w:rPr>
          <w:rFonts w:ascii="Verdana" w:hAnsi="Verdana" w:cs="Andalus"/>
        </w:rPr>
        <w:t xml:space="preserve">quel </w:t>
      </w:r>
      <w:r w:rsidR="00343363" w:rsidRPr="004D5F4E">
        <w:rPr>
          <w:rFonts w:ascii="Verdana" w:hAnsi="Verdana" w:cs="Andalus"/>
        </w:rPr>
        <w:t>sist</w:t>
      </w:r>
      <w:r w:rsidR="001B71D3" w:rsidRPr="004D5F4E">
        <w:rPr>
          <w:rFonts w:ascii="Verdana" w:hAnsi="Verdana" w:cs="Andalus"/>
        </w:rPr>
        <w:t>ema di divisione e federalismo mal visto</w:t>
      </w:r>
      <w:r w:rsidR="00343363" w:rsidRPr="004D5F4E">
        <w:rPr>
          <w:rFonts w:ascii="Verdana" w:hAnsi="Verdana" w:cs="Andalus"/>
        </w:rPr>
        <w:t xml:space="preserve"> da</w:t>
      </w:r>
      <w:r w:rsidR="001B71D3" w:rsidRPr="004D5F4E">
        <w:rPr>
          <w:rFonts w:ascii="Verdana" w:hAnsi="Verdana" w:cs="Andalus"/>
        </w:rPr>
        <w:t>i giacobini (centralisti) e caro</w:t>
      </w:r>
      <w:r w:rsidR="00343363" w:rsidRPr="004D5F4E">
        <w:rPr>
          <w:rFonts w:ascii="Verdana" w:hAnsi="Verdana" w:cs="Andalus"/>
        </w:rPr>
        <w:t xml:space="preserve"> ai girondini (</w:t>
      </w:r>
      <w:r w:rsidR="001B71D3" w:rsidRPr="004D5F4E">
        <w:rPr>
          <w:rFonts w:ascii="Verdana" w:hAnsi="Verdana" w:cs="Andalus"/>
        </w:rPr>
        <w:t xml:space="preserve">che erano </w:t>
      </w:r>
      <w:r w:rsidR="00343363" w:rsidRPr="004D5F4E">
        <w:rPr>
          <w:rFonts w:ascii="Verdana" w:hAnsi="Verdana" w:cs="Andalus"/>
        </w:rPr>
        <w:t xml:space="preserve">per le autonomie). </w:t>
      </w:r>
    </w:p>
    <w:p w:rsidR="002F64F2" w:rsidRPr="004B6DE5" w:rsidRDefault="00380DF7" w:rsidP="004B6DE5">
      <w:pPr>
        <w:spacing w:after="0"/>
        <w:jc w:val="both"/>
        <w:rPr>
          <w:rFonts w:ascii="Andalus" w:hAnsi="Andalus" w:cs="Andalus"/>
          <w:b/>
          <w:i/>
          <w:color w:val="000000" w:themeColor="text1"/>
          <w:sz w:val="48"/>
        </w:rPr>
      </w:pPr>
      <w:r w:rsidRPr="004D5F4E">
        <w:rPr>
          <w:rFonts w:ascii="Verdana" w:hAnsi="Verdana" w:cs="Andalus"/>
        </w:rPr>
        <w:t xml:space="preserve">La narrazione completa degli avvenimenti riguardanti l’arresto dei girondini ci è fornita da una brochure </w:t>
      </w:r>
      <w:r w:rsidR="00C75AE4" w:rsidRPr="004D5F4E">
        <w:rPr>
          <w:rFonts w:ascii="Verdana" w:hAnsi="Verdana" w:cs="Andalus"/>
        </w:rPr>
        <w:t>anonima scritta probabilmente da</w:t>
      </w:r>
      <w:r w:rsidR="00156E9D" w:rsidRPr="004D5F4E">
        <w:rPr>
          <w:rFonts w:ascii="Verdana" w:hAnsi="Verdana" w:cs="Andalus"/>
        </w:rPr>
        <w:t xml:space="preserve">l sindaco di Parigi, </w:t>
      </w:r>
      <w:r w:rsidR="00156E9D" w:rsidRPr="004D5F4E">
        <w:rPr>
          <w:rFonts w:ascii="Verdana" w:hAnsi="Verdana" w:cs="Andalus"/>
          <w:u w:val="single"/>
        </w:rPr>
        <w:t xml:space="preserve">Jean </w:t>
      </w:r>
      <w:proofErr w:type="spellStart"/>
      <w:r w:rsidR="00156E9D" w:rsidRPr="004D5F4E">
        <w:rPr>
          <w:rFonts w:ascii="Verdana" w:hAnsi="Verdana" w:cs="Andalus"/>
          <w:u w:val="single"/>
        </w:rPr>
        <w:t>Nicolà</w:t>
      </w:r>
      <w:proofErr w:type="spellEnd"/>
      <w:r w:rsidR="00C75AE4" w:rsidRPr="004D5F4E">
        <w:rPr>
          <w:rFonts w:ascii="Verdana" w:hAnsi="Verdana" w:cs="Andalus"/>
          <w:u w:val="single"/>
        </w:rPr>
        <w:t xml:space="preserve"> </w:t>
      </w:r>
      <w:proofErr w:type="spellStart"/>
      <w:r w:rsidR="00C75AE4" w:rsidRPr="004D5F4E">
        <w:rPr>
          <w:rFonts w:ascii="Verdana" w:hAnsi="Verdana" w:cs="Andalus"/>
          <w:u w:val="single"/>
        </w:rPr>
        <w:t>Pache</w:t>
      </w:r>
      <w:proofErr w:type="spellEnd"/>
      <w:r w:rsidR="00C75AE4" w:rsidRPr="004D5F4E">
        <w:rPr>
          <w:rFonts w:ascii="Verdana" w:hAnsi="Verdana" w:cs="Andalus"/>
        </w:rPr>
        <w:t>, e</w:t>
      </w:r>
      <w:r w:rsidR="00156E9D" w:rsidRPr="004D5F4E">
        <w:rPr>
          <w:rFonts w:ascii="Verdana" w:hAnsi="Verdana" w:cs="Andalus"/>
        </w:rPr>
        <w:t xml:space="preserve"> </w:t>
      </w:r>
      <w:r w:rsidRPr="004D5F4E">
        <w:rPr>
          <w:rFonts w:ascii="Verdana" w:hAnsi="Verdana" w:cs="Andalus"/>
        </w:rPr>
        <w:t>messa in circolazione con l’intento di diffondere in tutti i dipartimenti</w:t>
      </w:r>
      <w:r w:rsidR="00C75AE4" w:rsidRPr="004D5F4E">
        <w:rPr>
          <w:rFonts w:ascii="Verdana" w:hAnsi="Verdana" w:cs="Andalus"/>
        </w:rPr>
        <w:t xml:space="preserve"> di Francia e tra le sezioni parigine</w:t>
      </w:r>
      <w:r w:rsidR="007B07EE" w:rsidRPr="004D5F4E">
        <w:rPr>
          <w:rFonts w:ascii="Verdana" w:hAnsi="Verdana" w:cs="Andalus"/>
        </w:rPr>
        <w:t xml:space="preserve"> </w:t>
      </w:r>
      <w:r w:rsidRPr="004D5F4E">
        <w:rPr>
          <w:rFonts w:ascii="Verdana" w:hAnsi="Verdana" w:cs="Andalus"/>
        </w:rPr>
        <w:t>la versione autentica</w:t>
      </w:r>
      <w:r w:rsidR="001B71D3" w:rsidRPr="004D5F4E">
        <w:rPr>
          <w:rFonts w:ascii="Verdana" w:hAnsi="Verdana" w:cs="Andalus"/>
        </w:rPr>
        <w:t xml:space="preserve"> </w:t>
      </w:r>
      <w:r w:rsidR="00C50D11">
        <w:rPr>
          <w:rFonts w:ascii="Verdana" w:hAnsi="Verdana" w:cs="Andalus"/>
        </w:rPr>
        <w:t>poiché</w:t>
      </w:r>
      <w:r w:rsidR="00C75AE4" w:rsidRPr="004D5F4E">
        <w:rPr>
          <w:rFonts w:ascii="Verdana" w:hAnsi="Verdana" w:cs="Andalus"/>
        </w:rPr>
        <w:t xml:space="preserve"> “ troppe calunnie</w:t>
      </w:r>
      <w:r w:rsidR="00156E9D" w:rsidRPr="004D5F4E">
        <w:rPr>
          <w:rFonts w:ascii="Verdana" w:hAnsi="Verdana" w:cs="Andalus"/>
        </w:rPr>
        <w:t xml:space="preserve"> circola</w:t>
      </w:r>
      <w:r w:rsidR="001B71D3" w:rsidRPr="004D5F4E">
        <w:rPr>
          <w:rFonts w:ascii="Verdana" w:hAnsi="Verdana" w:cs="Andalus"/>
        </w:rPr>
        <w:t>va</w:t>
      </w:r>
      <w:r w:rsidR="00156E9D" w:rsidRPr="004D5F4E">
        <w:rPr>
          <w:rFonts w:ascii="Verdana" w:hAnsi="Verdana" w:cs="Andalus"/>
        </w:rPr>
        <w:t>no sulla giornata del 2 giugno”</w:t>
      </w:r>
      <w:r w:rsidR="00C75AE4" w:rsidRPr="004D5F4E">
        <w:rPr>
          <w:rFonts w:ascii="Verdana" w:hAnsi="Verdana" w:cs="Andalus"/>
        </w:rPr>
        <w:t xml:space="preserve"> </w:t>
      </w:r>
      <w:r w:rsidR="006E3C98" w:rsidRPr="004D5F4E">
        <w:rPr>
          <w:rFonts w:ascii="Verdana" w:hAnsi="Verdana" w:cs="Andalus"/>
        </w:rPr>
        <w:t>.</w:t>
      </w:r>
    </w:p>
    <w:p w:rsidR="00795D86" w:rsidRPr="004D5F4E" w:rsidRDefault="008C459F" w:rsidP="004B6DE5">
      <w:pPr>
        <w:spacing w:after="0"/>
        <w:jc w:val="both"/>
        <w:rPr>
          <w:rFonts w:ascii="Verdana" w:hAnsi="Verdana" w:cs="Andalus"/>
        </w:rPr>
      </w:pPr>
      <w:r w:rsidRPr="004D5F4E">
        <w:rPr>
          <w:rFonts w:ascii="Verdana" w:hAnsi="Verdana" w:cs="Andalus"/>
        </w:rPr>
        <w:t xml:space="preserve">Il </w:t>
      </w:r>
      <w:r w:rsidR="006E3C98" w:rsidRPr="004D5F4E">
        <w:rPr>
          <w:rFonts w:ascii="Verdana" w:hAnsi="Verdana" w:cs="Andalus"/>
        </w:rPr>
        <w:t>pamphlet</w:t>
      </w:r>
      <w:r w:rsidRPr="004D5F4E">
        <w:rPr>
          <w:rFonts w:ascii="Verdana" w:hAnsi="Verdana" w:cs="Andalus"/>
        </w:rPr>
        <w:t xml:space="preserve"> addita la Gironda come forza che ha in mano i fili di tutti i complotti</w:t>
      </w:r>
      <w:r w:rsidR="002F64F2">
        <w:rPr>
          <w:rFonts w:ascii="Verdana" w:hAnsi="Verdana" w:cs="Andalus"/>
        </w:rPr>
        <w:t xml:space="preserve">: </w:t>
      </w:r>
      <w:r w:rsidR="003F3990" w:rsidRPr="004D5F4E">
        <w:rPr>
          <w:rFonts w:ascii="Verdana" w:hAnsi="Verdana" w:cs="Andalus"/>
        </w:rPr>
        <w:t>il boic</w:t>
      </w:r>
      <w:r w:rsidR="0033375F" w:rsidRPr="004D5F4E">
        <w:rPr>
          <w:rFonts w:ascii="Verdana" w:hAnsi="Verdana" w:cs="Andalus"/>
        </w:rPr>
        <w:t>ottaggio della repressione dei d</w:t>
      </w:r>
      <w:r w:rsidR="003F3990" w:rsidRPr="004D5F4E">
        <w:rPr>
          <w:rFonts w:ascii="Verdana" w:hAnsi="Verdana" w:cs="Andalus"/>
        </w:rPr>
        <w:t xml:space="preserve">ipartimenti infestati dai ribelli, l’immissione di veleni nel cuore stesso delle deliberazioni popolari, il sostegno occulto all’inflazione, che determina una crescita dei prezzi e la rovina economica della classe povera. In queste circostanze la Convenzione varò la nomina di un comitato </w:t>
      </w:r>
      <w:r w:rsidR="006E3C98" w:rsidRPr="004D5F4E">
        <w:rPr>
          <w:rFonts w:ascii="Verdana" w:hAnsi="Verdana" w:cs="Andalus"/>
        </w:rPr>
        <w:t>d’</w:t>
      </w:r>
      <w:r w:rsidR="00ED6C62">
        <w:rPr>
          <w:rFonts w:ascii="Verdana" w:hAnsi="Verdana" w:cs="Andalus"/>
        </w:rPr>
        <w:t>inchiesta di dodici membri (Commissione dei D</w:t>
      </w:r>
      <w:r w:rsidR="003F3990" w:rsidRPr="004D5F4E">
        <w:rPr>
          <w:rFonts w:ascii="Verdana" w:hAnsi="Verdana" w:cs="Andalus"/>
        </w:rPr>
        <w:t>odici), che permetteva ai girondini di inquisire sui comportamenti della Comune</w:t>
      </w:r>
      <w:r w:rsidR="006E3C98" w:rsidRPr="004D5F4E">
        <w:rPr>
          <w:rFonts w:ascii="Verdana" w:hAnsi="Verdana" w:cs="Andalus"/>
        </w:rPr>
        <w:t xml:space="preserve">, limitarne l’azione, farne arrestare gli </w:t>
      </w:r>
      <w:r w:rsidR="00ED6C62">
        <w:rPr>
          <w:rFonts w:ascii="Verdana" w:hAnsi="Verdana" w:cs="Andalus"/>
        </w:rPr>
        <w:t>esponenti più pericolosi. È la Commissione dei D</w:t>
      </w:r>
      <w:r w:rsidR="006E3C98" w:rsidRPr="004D5F4E">
        <w:rPr>
          <w:rFonts w:ascii="Verdana" w:hAnsi="Verdana" w:cs="Andalus"/>
        </w:rPr>
        <w:t>odici l’oggetto del contendere nello scontro che ha inizio il 31 maggio 1793, dopo l’arresto di un ma</w:t>
      </w:r>
      <w:r w:rsidR="00E36BAA" w:rsidRPr="004D5F4E">
        <w:rPr>
          <w:rFonts w:ascii="Verdana" w:hAnsi="Verdana" w:cs="Andalus"/>
        </w:rPr>
        <w:t>gistrato amico delle sezioni e</w:t>
      </w:r>
      <w:r w:rsidR="006E3C98" w:rsidRPr="004D5F4E">
        <w:rPr>
          <w:rFonts w:ascii="Verdana" w:hAnsi="Verdana" w:cs="Andalus"/>
        </w:rPr>
        <w:t xml:space="preserve"> di</w:t>
      </w:r>
      <w:r w:rsidR="00E36BAA" w:rsidRPr="004D5F4E">
        <w:rPr>
          <w:rFonts w:ascii="Verdana" w:hAnsi="Verdana" w:cs="Andalus"/>
        </w:rPr>
        <w:t xml:space="preserve"> numerosi patrioti. Il documento riporta poi varie mozioni, testi e</w:t>
      </w:r>
      <w:r w:rsidR="00ED6C62">
        <w:rPr>
          <w:rFonts w:ascii="Verdana" w:hAnsi="Verdana" w:cs="Andalus"/>
        </w:rPr>
        <w:t xml:space="preserve"> appelli di protesta contro la C</w:t>
      </w:r>
      <w:r w:rsidR="00E36BAA" w:rsidRPr="004D5F4E">
        <w:rPr>
          <w:rFonts w:ascii="Verdana" w:hAnsi="Verdana" w:cs="Andalus"/>
        </w:rPr>
        <w:t>ommissio</w:t>
      </w:r>
      <w:r w:rsidR="00ED6C62">
        <w:rPr>
          <w:rFonts w:ascii="Verdana" w:hAnsi="Verdana" w:cs="Andalus"/>
        </w:rPr>
        <w:t>ne da parte delle sezioni alla C</w:t>
      </w:r>
      <w:r w:rsidR="00E36BAA" w:rsidRPr="004D5F4E">
        <w:rPr>
          <w:rFonts w:ascii="Verdana" w:hAnsi="Verdana" w:cs="Andalus"/>
        </w:rPr>
        <w:t>onvenzione. Successivamente sono narrati gli avvenimenti di queste</w:t>
      </w:r>
      <w:r w:rsidR="00E2564C" w:rsidRPr="004D5F4E">
        <w:rPr>
          <w:rFonts w:ascii="Verdana" w:hAnsi="Verdana" w:cs="Andalus"/>
        </w:rPr>
        <w:t xml:space="preserve"> tre giornate dal momento in cui le sezioni capeggiate da François </w:t>
      </w:r>
      <w:proofErr w:type="spellStart"/>
      <w:r w:rsidR="00E2564C" w:rsidRPr="004D5F4E">
        <w:rPr>
          <w:rFonts w:ascii="Verdana" w:hAnsi="Verdana" w:cs="Andalus"/>
        </w:rPr>
        <w:t>Hanriot</w:t>
      </w:r>
      <w:proofErr w:type="spellEnd"/>
      <w:r w:rsidR="00E2564C" w:rsidRPr="004D5F4E">
        <w:rPr>
          <w:rFonts w:ascii="Verdana" w:hAnsi="Verdana" w:cs="Andalus"/>
        </w:rPr>
        <w:t xml:space="preserve"> si mobilitano e si recano alle </w:t>
      </w:r>
      <w:proofErr w:type="spellStart"/>
      <w:r w:rsidR="00E2564C" w:rsidRPr="004D5F4E">
        <w:rPr>
          <w:rFonts w:ascii="Verdana" w:hAnsi="Verdana" w:cs="Andalus"/>
        </w:rPr>
        <w:t>Tuilerie</w:t>
      </w:r>
      <w:proofErr w:type="spellEnd"/>
      <w:r w:rsidR="00E2564C" w:rsidRPr="004D5F4E">
        <w:rPr>
          <w:rFonts w:ascii="Verdana" w:hAnsi="Verdana" w:cs="Andalus"/>
        </w:rPr>
        <w:t xml:space="preserve"> in armi</w:t>
      </w:r>
      <w:r w:rsidR="00343363" w:rsidRPr="004D5F4E">
        <w:rPr>
          <w:rFonts w:ascii="Verdana" w:hAnsi="Verdana" w:cs="Andalus"/>
        </w:rPr>
        <w:t xml:space="preserve"> </w:t>
      </w:r>
      <w:r w:rsidR="00E2564C" w:rsidRPr="004D5F4E">
        <w:rPr>
          <w:rFonts w:ascii="Verdana" w:hAnsi="Verdana" w:cs="Andalus"/>
        </w:rPr>
        <w:t>per inviare all’assem</w:t>
      </w:r>
      <w:r w:rsidR="00343363" w:rsidRPr="004D5F4E">
        <w:rPr>
          <w:rFonts w:ascii="Verdana" w:hAnsi="Verdana" w:cs="Andalus"/>
        </w:rPr>
        <w:t>blea riunita le proprie mozioni</w:t>
      </w:r>
      <w:r w:rsidR="00E2564C" w:rsidRPr="004D5F4E">
        <w:rPr>
          <w:rFonts w:ascii="Verdana" w:hAnsi="Verdana" w:cs="Andalus"/>
        </w:rPr>
        <w:t xml:space="preserve"> </w:t>
      </w:r>
      <w:r w:rsidR="00343363" w:rsidRPr="004D5F4E">
        <w:rPr>
          <w:rFonts w:ascii="Verdana" w:hAnsi="Verdana" w:cs="Andalus"/>
        </w:rPr>
        <w:t>in cui erano rivolte accuse</w:t>
      </w:r>
      <w:r w:rsidR="00FD5B64" w:rsidRPr="004D5F4E">
        <w:rPr>
          <w:rFonts w:ascii="Verdana" w:hAnsi="Verdana" w:cs="Andalus"/>
        </w:rPr>
        <w:t xml:space="preserve"> </w:t>
      </w:r>
      <w:proofErr w:type="spellStart"/>
      <w:r w:rsidR="00FD5B64" w:rsidRPr="004D5F4E">
        <w:rPr>
          <w:rFonts w:ascii="Verdana" w:hAnsi="Verdana" w:cs="Andalus"/>
        </w:rPr>
        <w:t>esgerate</w:t>
      </w:r>
      <w:proofErr w:type="spellEnd"/>
      <w:r w:rsidR="00343363" w:rsidRPr="004D5F4E">
        <w:rPr>
          <w:rFonts w:ascii="Verdana" w:hAnsi="Verdana" w:cs="Andalus"/>
        </w:rPr>
        <w:t xml:space="preserve"> ai girondini</w:t>
      </w:r>
      <w:r w:rsidR="00FD5B64" w:rsidRPr="004D5F4E">
        <w:rPr>
          <w:rFonts w:ascii="Verdana" w:hAnsi="Verdana" w:cs="Andalus"/>
        </w:rPr>
        <w:t xml:space="preserve"> (di voler restaurare la monarchia, poiché avevano proposto l’appello al popolo prima di decidere sulla testa di Luigi XVI, e di voler distruggere Parigi). </w:t>
      </w:r>
      <w:r w:rsidR="00795D86" w:rsidRPr="004D5F4E">
        <w:rPr>
          <w:rFonts w:ascii="Verdana" w:hAnsi="Verdana" w:cs="Andalus"/>
        </w:rPr>
        <w:t xml:space="preserve"> Il popolo quindi, essendo il soggetto principale della democrazia, si riprende l’eser</w:t>
      </w:r>
      <w:r w:rsidR="00ED6C62">
        <w:rPr>
          <w:rFonts w:ascii="Verdana" w:hAnsi="Verdana" w:cs="Andalus"/>
        </w:rPr>
        <w:t>cizio di tutti i poteri della C</w:t>
      </w:r>
      <w:r w:rsidR="00795D86" w:rsidRPr="004D5F4E">
        <w:rPr>
          <w:rFonts w:ascii="Verdana" w:hAnsi="Verdana" w:cs="Andalus"/>
        </w:rPr>
        <w:t>onvenzione, sospendendo provvisoriamente l</w:t>
      </w:r>
      <w:r w:rsidR="00455156" w:rsidRPr="004D5F4E">
        <w:rPr>
          <w:rFonts w:ascii="Verdana" w:hAnsi="Verdana" w:cs="Andalus"/>
        </w:rPr>
        <w:t>e autorità da esso emanate. La C</w:t>
      </w:r>
      <w:r w:rsidR="00795D86" w:rsidRPr="004D5F4E">
        <w:rPr>
          <w:rFonts w:ascii="Verdana" w:hAnsi="Verdana" w:cs="Andalus"/>
        </w:rPr>
        <w:t>onvenzione quella stessa mattina v</w:t>
      </w:r>
      <w:r w:rsidR="00ED6C62">
        <w:rPr>
          <w:rFonts w:ascii="Verdana" w:hAnsi="Verdana" w:cs="Andalus"/>
        </w:rPr>
        <w:t>ara un decreto che cancella la Commissione dei D</w:t>
      </w:r>
      <w:r w:rsidR="00795D86" w:rsidRPr="004D5F4E">
        <w:rPr>
          <w:rFonts w:ascii="Verdana" w:hAnsi="Verdana" w:cs="Andalus"/>
        </w:rPr>
        <w:t xml:space="preserve">odici, ordina che siano perseguiti i cospiratori (22 girondini) e preannuncia una </w:t>
      </w:r>
      <w:proofErr w:type="spellStart"/>
      <w:r w:rsidR="00795D86" w:rsidRPr="004D5F4E">
        <w:rPr>
          <w:rFonts w:ascii="Verdana" w:hAnsi="Verdana" w:cs="Andalus"/>
        </w:rPr>
        <w:t>federacion</w:t>
      </w:r>
      <w:proofErr w:type="spellEnd"/>
      <w:r w:rsidR="00795D86" w:rsidRPr="004D5F4E">
        <w:rPr>
          <w:rFonts w:ascii="Verdana" w:hAnsi="Verdana" w:cs="Andalus"/>
        </w:rPr>
        <w:t xml:space="preserve"> </w:t>
      </w:r>
      <w:proofErr w:type="spellStart"/>
      <w:r w:rsidR="00795D86" w:rsidRPr="004D5F4E">
        <w:rPr>
          <w:rFonts w:ascii="Verdana" w:hAnsi="Verdana" w:cs="Andalus"/>
        </w:rPr>
        <w:t>nacional</w:t>
      </w:r>
      <w:proofErr w:type="spellEnd"/>
      <w:r w:rsidR="00795D86" w:rsidRPr="004D5F4E">
        <w:rPr>
          <w:rFonts w:ascii="Verdana" w:hAnsi="Verdana" w:cs="Andalus"/>
        </w:rPr>
        <w:t xml:space="preserve"> </w:t>
      </w:r>
      <w:proofErr w:type="spellStart"/>
      <w:r w:rsidR="00795D86" w:rsidRPr="004D5F4E">
        <w:rPr>
          <w:rFonts w:ascii="Verdana" w:hAnsi="Verdana" w:cs="Andalus"/>
        </w:rPr>
        <w:t>republiquen</w:t>
      </w:r>
      <w:proofErr w:type="spellEnd"/>
      <w:r w:rsidR="00795D86" w:rsidRPr="004D5F4E">
        <w:rPr>
          <w:rFonts w:ascii="Verdana" w:hAnsi="Verdana" w:cs="Andalus"/>
        </w:rPr>
        <w:t xml:space="preserve"> da tenersi il 10 agosto. </w:t>
      </w:r>
      <w:proofErr w:type="spellStart"/>
      <w:r w:rsidR="00ED6C62">
        <w:rPr>
          <w:rFonts w:ascii="Verdana" w:hAnsi="Verdana" w:cs="Andalus"/>
        </w:rPr>
        <w:t>Da</w:t>
      </w:r>
      <w:r w:rsidR="00DC4509" w:rsidRPr="004D5F4E">
        <w:rPr>
          <w:rFonts w:ascii="Verdana" w:hAnsi="Verdana" w:cs="Andalus"/>
        </w:rPr>
        <w:t>nton</w:t>
      </w:r>
      <w:proofErr w:type="spellEnd"/>
      <w:r w:rsidR="00DC4509" w:rsidRPr="004D5F4E">
        <w:rPr>
          <w:rFonts w:ascii="Verdana" w:hAnsi="Verdana" w:cs="Andalus"/>
        </w:rPr>
        <w:t xml:space="preserve">, membro del comitato di salute pubblica e personalità molto autorevole, si trova dinnanzi a un dilemma: bisogna prima deferire dinnanzi a un tribunale il comandante </w:t>
      </w:r>
      <w:proofErr w:type="spellStart"/>
      <w:r w:rsidR="00DC4509" w:rsidRPr="004D5F4E">
        <w:rPr>
          <w:rFonts w:ascii="Verdana" w:hAnsi="Verdana" w:cs="Andalus"/>
        </w:rPr>
        <w:t>Hanriot</w:t>
      </w:r>
      <w:proofErr w:type="spellEnd"/>
      <w:r w:rsidR="00DC4509" w:rsidRPr="004D5F4E">
        <w:rPr>
          <w:rFonts w:ascii="Verdana" w:hAnsi="Verdana" w:cs="Andalus"/>
        </w:rPr>
        <w:t>, che ha portato uomini armati intorno al parlamento, o cassar</w:t>
      </w:r>
      <w:r w:rsidR="00ED6C62">
        <w:rPr>
          <w:rFonts w:ascii="Verdana" w:hAnsi="Verdana" w:cs="Andalus"/>
        </w:rPr>
        <w:t xml:space="preserve">e la Commissione dei Dodici? </w:t>
      </w:r>
      <w:proofErr w:type="spellStart"/>
      <w:r w:rsidR="00ED6C62">
        <w:rPr>
          <w:rFonts w:ascii="Verdana" w:hAnsi="Verdana" w:cs="Andalus"/>
        </w:rPr>
        <w:t>Da</w:t>
      </w:r>
      <w:r w:rsidR="00DC4509" w:rsidRPr="004D5F4E">
        <w:rPr>
          <w:rFonts w:ascii="Verdana" w:hAnsi="Verdana" w:cs="Andalus"/>
        </w:rPr>
        <w:t>nton</w:t>
      </w:r>
      <w:proofErr w:type="spellEnd"/>
      <w:r w:rsidR="00DC4509" w:rsidRPr="004D5F4E">
        <w:rPr>
          <w:rFonts w:ascii="Verdana" w:hAnsi="Verdana" w:cs="Andalus"/>
        </w:rPr>
        <w:t xml:space="preserve"> decide per il secondo in modo che faccia da monito, da “esempio terribile” per tutti coloro che non rispettano il popolo anche quando esagera sul piano del rivoluzionarismo. </w:t>
      </w:r>
      <w:r w:rsidR="004F5E26" w:rsidRPr="004D5F4E">
        <w:rPr>
          <w:rFonts w:ascii="Verdana" w:hAnsi="Verdana" w:cs="Andalus"/>
        </w:rPr>
        <w:t xml:space="preserve">La notte viene passata in parlamento. Il giorno successivo si rimette in discussione la decisione presa il giorno prima, c’è un nuovo dispiegamento di armati, viene letta una nuova e più dura petizione </w:t>
      </w:r>
      <w:r w:rsidR="00ED6C62">
        <w:rPr>
          <w:rFonts w:ascii="Verdana" w:hAnsi="Verdana" w:cs="Andalus"/>
        </w:rPr>
        <w:t>alla quale il presidente della C</w:t>
      </w:r>
      <w:r w:rsidR="004F5E26" w:rsidRPr="004D5F4E">
        <w:rPr>
          <w:rFonts w:ascii="Verdana" w:hAnsi="Verdana" w:cs="Andalus"/>
        </w:rPr>
        <w:t xml:space="preserve">onvenzione </w:t>
      </w:r>
      <w:proofErr w:type="spellStart"/>
      <w:r w:rsidR="004F5E26" w:rsidRPr="004D5F4E">
        <w:rPr>
          <w:rFonts w:ascii="Verdana" w:hAnsi="Verdana" w:cs="Andalus"/>
        </w:rPr>
        <w:t>Mallarmé</w:t>
      </w:r>
      <w:proofErr w:type="spellEnd"/>
      <w:r w:rsidR="004F5E26" w:rsidRPr="004D5F4E">
        <w:rPr>
          <w:rFonts w:ascii="Verdana" w:hAnsi="Verdana" w:cs="Andalus"/>
        </w:rPr>
        <w:t xml:space="preserve"> risponde in modo inconsistente. Il popolo esce gridando furioso dal parlamento, ma dopo una turbolenta discussione </w:t>
      </w:r>
      <w:r w:rsidR="00ED6C62">
        <w:rPr>
          <w:rFonts w:ascii="Verdana" w:hAnsi="Verdana" w:cs="Andalus"/>
        </w:rPr>
        <w:t>la C</w:t>
      </w:r>
      <w:r w:rsidR="007F3470" w:rsidRPr="004D5F4E">
        <w:rPr>
          <w:rFonts w:ascii="Verdana" w:hAnsi="Verdana" w:cs="Andalus"/>
        </w:rPr>
        <w:t xml:space="preserve">onvenzione esce dalla sala e si rivolge attraverso il suo nuovo presidente, </w:t>
      </w:r>
      <w:proofErr w:type="spellStart"/>
      <w:r w:rsidR="007F3470" w:rsidRPr="004D5F4E">
        <w:rPr>
          <w:rFonts w:ascii="Verdana" w:hAnsi="Verdana" w:cs="Andalus"/>
        </w:rPr>
        <w:t>Erod</w:t>
      </w:r>
      <w:proofErr w:type="spellEnd"/>
      <w:r w:rsidR="007F3470" w:rsidRPr="004D5F4E">
        <w:rPr>
          <w:rFonts w:ascii="Verdana" w:hAnsi="Verdana" w:cs="Andalus"/>
        </w:rPr>
        <w:t xml:space="preserve"> Seicelle, al popolo </w:t>
      </w:r>
      <w:r w:rsidR="007F3470" w:rsidRPr="004D5F4E">
        <w:rPr>
          <w:rFonts w:ascii="Verdana" w:hAnsi="Verdana" w:cs="Andalus"/>
        </w:rPr>
        <w:lastRenderedPageBreak/>
        <w:t xml:space="preserve">armato che risponde: “Viva la repubblica! Morte ai traditori!”  Sembra quasi una scena idillica in cui il rappresentante e il rappresentato si trovano l’uno di fronte all’altro circondati da armati che però non sparano un colpo, tuttavia, subito dopo la qualifica è pesantissima, infatti, i convenzionali vengono giudicati come il crimine che si ammanta di virtù (secondo </w:t>
      </w:r>
      <w:r w:rsidR="007F3470" w:rsidRPr="004D5F4E">
        <w:rPr>
          <w:rFonts w:ascii="Verdana" w:hAnsi="Verdana" w:cs="Andalus"/>
          <w:u w:val="single"/>
        </w:rPr>
        <w:t>Sain</w:t>
      </w:r>
      <w:r w:rsidR="00ED6C62">
        <w:rPr>
          <w:rFonts w:ascii="Verdana" w:hAnsi="Verdana" w:cs="Andalus"/>
          <w:u w:val="single"/>
        </w:rPr>
        <w:t xml:space="preserve">t </w:t>
      </w:r>
      <w:proofErr w:type="spellStart"/>
      <w:r w:rsidR="00ED6C62">
        <w:rPr>
          <w:rFonts w:ascii="Verdana" w:hAnsi="Verdana" w:cs="Andalus"/>
          <w:u w:val="single"/>
        </w:rPr>
        <w:t>J</w:t>
      </w:r>
      <w:r w:rsidR="007F3470" w:rsidRPr="004D5F4E">
        <w:rPr>
          <w:rFonts w:ascii="Verdana" w:hAnsi="Verdana" w:cs="Andalus"/>
          <w:u w:val="single"/>
        </w:rPr>
        <w:t>uste</w:t>
      </w:r>
      <w:proofErr w:type="spellEnd"/>
      <w:r w:rsidR="007F3470" w:rsidRPr="004D5F4E">
        <w:rPr>
          <w:rFonts w:ascii="Verdana" w:hAnsi="Verdana" w:cs="Andalus"/>
        </w:rPr>
        <w:t xml:space="preserve"> i partiti dovrebbero essere illegali perché la virtù è una e non può essere frammentata)</w:t>
      </w:r>
      <w:r w:rsidR="00ED6C62">
        <w:rPr>
          <w:rFonts w:ascii="Verdana" w:hAnsi="Verdana" w:cs="Andalus"/>
        </w:rPr>
        <w:t>. La C</w:t>
      </w:r>
      <w:r w:rsidR="00C75AE4" w:rsidRPr="004D5F4E">
        <w:rPr>
          <w:rFonts w:ascii="Verdana" w:hAnsi="Verdana" w:cs="Andalus"/>
        </w:rPr>
        <w:t xml:space="preserve">onvenzione rientra coperta d’applausi nel parlamento in cui sale alla tribuna </w:t>
      </w:r>
      <w:proofErr w:type="spellStart"/>
      <w:r w:rsidR="00C75AE4" w:rsidRPr="004D5F4E">
        <w:rPr>
          <w:rFonts w:ascii="Verdana" w:hAnsi="Verdana" w:cs="Andalus"/>
        </w:rPr>
        <w:t>Couton</w:t>
      </w:r>
      <w:proofErr w:type="spellEnd"/>
      <w:r w:rsidR="00C75AE4" w:rsidRPr="004D5F4E">
        <w:rPr>
          <w:rFonts w:ascii="Verdana" w:hAnsi="Verdana" w:cs="Andalus"/>
        </w:rPr>
        <w:t xml:space="preserve"> dicendo che i membri denunciati saranno arrestati.</w:t>
      </w:r>
    </w:p>
    <w:p w:rsidR="00156E9D" w:rsidRPr="004D5F4E" w:rsidRDefault="00156E9D" w:rsidP="00DC6536">
      <w:pPr>
        <w:spacing w:after="0"/>
        <w:jc w:val="both"/>
        <w:rPr>
          <w:rFonts w:ascii="Verdana" w:hAnsi="Verdana" w:cs="Andalus"/>
        </w:rPr>
      </w:pPr>
      <w:r w:rsidRPr="004D5F4E">
        <w:rPr>
          <w:rFonts w:ascii="Verdana" w:hAnsi="Verdana" w:cs="Andalus"/>
        </w:rPr>
        <w:t xml:space="preserve">Al centro di questa narrazione è posto certamente il popolo, che è sempre presente alle sedute del parlamento ed è considerato la legge stessa, idea proveniente dall’antica democrazia ateniese secondo la quale il popolo era la di sopra della legge. </w:t>
      </w:r>
    </w:p>
    <w:p w:rsidR="00C75AE4" w:rsidRPr="004D5F4E" w:rsidRDefault="00156E9D" w:rsidP="00DC6536">
      <w:pPr>
        <w:spacing w:after="0"/>
        <w:jc w:val="both"/>
        <w:rPr>
          <w:rFonts w:ascii="Verdana" w:hAnsi="Verdana" w:cs="Andalus"/>
        </w:rPr>
      </w:pPr>
      <w:r w:rsidRPr="004D5F4E">
        <w:rPr>
          <w:rFonts w:ascii="Verdana" w:hAnsi="Verdana" w:cs="Andalus"/>
        </w:rPr>
        <w:t xml:space="preserve">Tuttavia questo no è l’unico racconto contemporaneo pervenutoci; ci sono altre fonti come i giornali (il più importante è le journal de </w:t>
      </w:r>
      <w:proofErr w:type="spellStart"/>
      <w:r w:rsidRPr="004D5F4E">
        <w:rPr>
          <w:rFonts w:ascii="Verdana" w:hAnsi="Verdana" w:cs="Andalus"/>
        </w:rPr>
        <w:t>Paris</w:t>
      </w:r>
      <w:proofErr w:type="spellEnd"/>
      <w:r w:rsidRPr="004D5F4E">
        <w:rPr>
          <w:rFonts w:ascii="Verdana" w:hAnsi="Verdana" w:cs="Andalus"/>
        </w:rPr>
        <w:t xml:space="preserve"> e dice sostanzialmente le stesse cose del pamphlet) e la memorialistica. </w:t>
      </w:r>
      <w:r w:rsidR="00E015C8" w:rsidRPr="004D5F4E">
        <w:rPr>
          <w:rFonts w:ascii="Verdana" w:hAnsi="Verdana" w:cs="Andalus"/>
        </w:rPr>
        <w:t xml:space="preserve">Di quest’ultima ci è pervenuto un testo di un protagonista di quegli avvenimenti, </w:t>
      </w:r>
      <w:r w:rsidR="00E015C8" w:rsidRPr="00953407">
        <w:rPr>
          <w:rFonts w:ascii="Verdana" w:hAnsi="Verdana" w:cs="Andalus"/>
          <w:u w:val="single"/>
        </w:rPr>
        <w:t xml:space="preserve">Bertrand </w:t>
      </w:r>
      <w:proofErr w:type="spellStart"/>
      <w:r w:rsidR="00E015C8" w:rsidRPr="00953407">
        <w:rPr>
          <w:rFonts w:ascii="Verdana" w:hAnsi="Verdana" w:cs="Andalus"/>
          <w:u w:val="single"/>
        </w:rPr>
        <w:t>Barere</w:t>
      </w:r>
      <w:proofErr w:type="spellEnd"/>
      <w:r w:rsidR="00E015C8" w:rsidRPr="004D5F4E">
        <w:rPr>
          <w:rFonts w:ascii="Verdana" w:hAnsi="Verdana" w:cs="Andalus"/>
        </w:rPr>
        <w:t xml:space="preserve">, convenzionale con una lunga carriera alle spalle. I  </w:t>
      </w:r>
      <w:proofErr w:type="spellStart"/>
      <w:r w:rsidR="00E015C8" w:rsidRPr="004D5F4E">
        <w:rPr>
          <w:rFonts w:ascii="Verdana" w:hAnsi="Verdana" w:cs="Andalus"/>
        </w:rPr>
        <w:t>Memoires</w:t>
      </w:r>
      <w:proofErr w:type="spellEnd"/>
      <w:r w:rsidR="00E015C8" w:rsidRPr="004D5F4E">
        <w:rPr>
          <w:rFonts w:ascii="Verdana" w:hAnsi="Verdana" w:cs="Andalus"/>
        </w:rPr>
        <w:t xml:space="preserve"> di </w:t>
      </w:r>
      <w:proofErr w:type="spellStart"/>
      <w:r w:rsidR="00E015C8" w:rsidRPr="004D5F4E">
        <w:rPr>
          <w:rFonts w:ascii="Verdana" w:hAnsi="Verdana" w:cs="Andalus"/>
        </w:rPr>
        <w:t>Barere</w:t>
      </w:r>
      <w:proofErr w:type="spellEnd"/>
      <w:r w:rsidR="00E015C8" w:rsidRPr="004D5F4E">
        <w:rPr>
          <w:rFonts w:ascii="Verdana" w:hAnsi="Verdana" w:cs="Andalus"/>
        </w:rPr>
        <w:t xml:space="preserve"> possono non essere considerati un racconto attendibile degli avvenimenti di cui stiamo trattando, in quanto benché abbia partecipato alla seduta parlamentare, scrive molto tempo dopo con una finalità apologetica; il racconto delle tre giornate ha la funzione di dimostrare che lui sia stato il promotore dell’iniziativa di uscire dalla sala e di andare incontro al popolo</w:t>
      </w:r>
      <w:r w:rsidR="00ED6C62">
        <w:rPr>
          <w:rFonts w:ascii="Verdana" w:hAnsi="Verdana" w:cs="Andalus"/>
        </w:rPr>
        <w:t xml:space="preserve">. Denuncia la doppiezza di </w:t>
      </w:r>
      <w:proofErr w:type="spellStart"/>
      <w:r w:rsidR="00ED6C62">
        <w:rPr>
          <w:rFonts w:ascii="Verdana" w:hAnsi="Verdana" w:cs="Andalus"/>
        </w:rPr>
        <w:t>Da</w:t>
      </w:r>
      <w:r w:rsidR="006E5718" w:rsidRPr="004D5F4E">
        <w:rPr>
          <w:rFonts w:ascii="Verdana" w:hAnsi="Verdana" w:cs="Andalus"/>
        </w:rPr>
        <w:t>nton</w:t>
      </w:r>
      <w:proofErr w:type="spellEnd"/>
      <w:r w:rsidR="006E5718" w:rsidRPr="004D5F4E">
        <w:rPr>
          <w:rFonts w:ascii="Verdana" w:hAnsi="Verdana" w:cs="Andalus"/>
        </w:rPr>
        <w:t xml:space="preserve"> e “inventa” un dialogo avuto con Robespierre (negli atti parlamentari Robespierre non parla alla seduta) mentre </w:t>
      </w:r>
      <w:proofErr w:type="spellStart"/>
      <w:r w:rsidR="006E5718" w:rsidRPr="004D5F4E">
        <w:rPr>
          <w:rFonts w:ascii="Verdana" w:hAnsi="Verdana" w:cs="Andalus"/>
        </w:rPr>
        <w:t>Barere</w:t>
      </w:r>
      <w:proofErr w:type="spellEnd"/>
      <w:r w:rsidR="006E5718" w:rsidRPr="004D5F4E">
        <w:rPr>
          <w:rFonts w:ascii="Verdana" w:hAnsi="Verdana" w:cs="Andalus"/>
        </w:rPr>
        <w:t xml:space="preserve"> stava proponendo di andare incontro al popolo, azione presentata come eroica, ma che in realtà era un semplice tentativo di tagliare la discussione che stava volgendo al peggio.</w:t>
      </w:r>
    </w:p>
    <w:p w:rsidR="00186909" w:rsidRPr="004D5F4E" w:rsidRDefault="00186909" w:rsidP="00DC6536">
      <w:pPr>
        <w:spacing w:after="0"/>
        <w:jc w:val="both"/>
        <w:rPr>
          <w:rFonts w:ascii="Verdana" w:hAnsi="Verdana" w:cs="Andalus"/>
        </w:rPr>
      </w:pPr>
      <w:proofErr w:type="spellStart"/>
      <w:r w:rsidRPr="00E9287A">
        <w:rPr>
          <w:rFonts w:ascii="Verdana" w:hAnsi="Verdana" w:cs="Andalus"/>
          <w:u w:val="single"/>
        </w:rPr>
        <w:t>Michlet</w:t>
      </w:r>
      <w:proofErr w:type="spellEnd"/>
      <w:r w:rsidRPr="004D5F4E">
        <w:rPr>
          <w:rFonts w:ascii="Verdana" w:hAnsi="Verdana" w:cs="Andalus"/>
        </w:rPr>
        <w:t>, invece, ci presenta l’esito delle votazioni, che non possono essere chiamate tali, poiché non furono vere e proprie votazioni: ad esprimere il proprio voto furono solamente i montagnardi e il popolo seduto ai banchi dei deputati.</w:t>
      </w:r>
    </w:p>
    <w:p w:rsidR="007B7DDC" w:rsidRPr="004D5F4E" w:rsidRDefault="00186909" w:rsidP="00DC6536">
      <w:pPr>
        <w:spacing w:after="0"/>
        <w:jc w:val="both"/>
        <w:rPr>
          <w:rFonts w:ascii="Verdana" w:hAnsi="Verdana" w:cs="Andalus"/>
        </w:rPr>
      </w:pPr>
      <w:r w:rsidRPr="004D5F4E">
        <w:rPr>
          <w:rFonts w:ascii="Verdana" w:hAnsi="Verdana" w:cs="Andalus"/>
        </w:rPr>
        <w:t>Se consideriamo, invece, i  testi degli autori filo</w:t>
      </w:r>
      <w:r w:rsidR="002F64F2">
        <w:rPr>
          <w:rFonts w:ascii="Verdana" w:hAnsi="Verdana" w:cs="Andalus"/>
        </w:rPr>
        <w:t>-</w:t>
      </w:r>
      <w:r w:rsidRPr="004D5F4E">
        <w:rPr>
          <w:rFonts w:ascii="Verdana" w:hAnsi="Verdana" w:cs="Andalus"/>
        </w:rPr>
        <w:t xml:space="preserve">giacobini </w:t>
      </w:r>
      <w:r w:rsidR="00E9287A">
        <w:rPr>
          <w:rFonts w:ascii="Verdana" w:hAnsi="Verdana" w:cs="Andalus"/>
        </w:rPr>
        <w:t>più recenti</w:t>
      </w:r>
      <w:r w:rsidRPr="004D5F4E">
        <w:rPr>
          <w:rFonts w:ascii="Verdana" w:hAnsi="Verdana" w:cs="Andalus"/>
        </w:rPr>
        <w:t xml:space="preserve">, </w:t>
      </w:r>
      <w:r w:rsidR="00F91797" w:rsidRPr="004D5F4E">
        <w:rPr>
          <w:rFonts w:ascii="Verdana" w:hAnsi="Verdana" w:cs="Andalus"/>
        </w:rPr>
        <w:t xml:space="preserve">notiamo che l’argomento è trattato superficialmente o addirittura tralasciato. Come possiamo notare nel “romanzo della vecchiaia 1793” di </w:t>
      </w:r>
      <w:r w:rsidR="00F91797" w:rsidRPr="004D5F4E">
        <w:rPr>
          <w:rFonts w:ascii="Verdana" w:hAnsi="Verdana" w:cs="Andalus"/>
          <w:u w:val="single"/>
        </w:rPr>
        <w:t>Victor</w:t>
      </w:r>
      <w:r w:rsidR="00F91797" w:rsidRPr="004D5F4E">
        <w:rPr>
          <w:rFonts w:ascii="Verdana" w:hAnsi="Verdana" w:cs="Andalus"/>
        </w:rPr>
        <w:t xml:space="preserve"> </w:t>
      </w:r>
      <w:r w:rsidR="00F91797" w:rsidRPr="004D5F4E">
        <w:rPr>
          <w:rFonts w:ascii="Verdana" w:hAnsi="Verdana" w:cs="Andalus"/>
          <w:u w:val="single"/>
        </w:rPr>
        <w:t>Hugo</w:t>
      </w:r>
      <w:r w:rsidR="00F91797" w:rsidRPr="004D5F4E">
        <w:rPr>
          <w:rFonts w:ascii="Verdana" w:hAnsi="Verdana" w:cs="Andalus"/>
        </w:rPr>
        <w:t>, l’episodio non compare nonostante sia incentrato completamente in quell’</w:t>
      </w:r>
      <w:r w:rsidR="007B7DDC" w:rsidRPr="004D5F4E">
        <w:rPr>
          <w:rFonts w:ascii="Verdana" w:hAnsi="Verdana" w:cs="Andalus"/>
        </w:rPr>
        <w:t xml:space="preserve">anno. </w:t>
      </w:r>
      <w:r w:rsidR="007B7DDC" w:rsidRPr="004D5F4E">
        <w:rPr>
          <w:rFonts w:ascii="Verdana" w:hAnsi="Verdana" w:cs="Andalus"/>
          <w:u w:val="single"/>
        </w:rPr>
        <w:t>Jean</w:t>
      </w:r>
      <w:r w:rsidR="007B7DDC" w:rsidRPr="004D5F4E">
        <w:rPr>
          <w:rFonts w:ascii="Verdana" w:hAnsi="Verdana" w:cs="Andalus"/>
        </w:rPr>
        <w:t xml:space="preserve"> </w:t>
      </w:r>
      <w:proofErr w:type="spellStart"/>
      <w:r w:rsidR="007B7DDC" w:rsidRPr="004D5F4E">
        <w:rPr>
          <w:rFonts w:ascii="Verdana" w:hAnsi="Verdana" w:cs="Andalus"/>
          <w:u w:val="single"/>
        </w:rPr>
        <w:t>Joures</w:t>
      </w:r>
      <w:proofErr w:type="spellEnd"/>
      <w:r w:rsidR="007B7DDC" w:rsidRPr="004D5F4E">
        <w:rPr>
          <w:rFonts w:ascii="Verdana" w:hAnsi="Verdana" w:cs="Andalus"/>
          <w:u w:val="single"/>
        </w:rPr>
        <w:t xml:space="preserve"> </w:t>
      </w:r>
      <w:r w:rsidR="007B7DDC" w:rsidRPr="004D5F4E">
        <w:rPr>
          <w:rFonts w:ascii="Verdana" w:hAnsi="Verdana" w:cs="Andalus"/>
        </w:rPr>
        <w:t xml:space="preserve">dedica solo alcune frasi affermando che la Gironda era diventata un pericolo mortale per la rivoluzione e perciò doveva scomparire. </w:t>
      </w:r>
    </w:p>
    <w:p w:rsidR="007B7DDC" w:rsidRPr="004D5F4E" w:rsidRDefault="007B7DDC" w:rsidP="00DC6536">
      <w:pPr>
        <w:spacing w:after="0"/>
        <w:jc w:val="both"/>
        <w:rPr>
          <w:rFonts w:ascii="Verdana" w:hAnsi="Verdana" w:cs="Andalus"/>
        </w:rPr>
      </w:pPr>
      <w:r w:rsidRPr="004D5F4E">
        <w:rPr>
          <w:rFonts w:ascii="Verdana" w:hAnsi="Verdana" w:cs="Andalus"/>
        </w:rPr>
        <w:t xml:space="preserve">Lo storico italiano </w:t>
      </w:r>
      <w:r w:rsidRPr="00E9287A">
        <w:rPr>
          <w:rFonts w:ascii="Verdana" w:hAnsi="Verdana" w:cs="Andalus"/>
          <w:u w:val="single"/>
        </w:rPr>
        <w:t xml:space="preserve">Armando </w:t>
      </w:r>
      <w:proofErr w:type="spellStart"/>
      <w:r w:rsidRPr="00E9287A">
        <w:rPr>
          <w:rFonts w:ascii="Verdana" w:hAnsi="Verdana" w:cs="Andalus"/>
          <w:u w:val="single"/>
        </w:rPr>
        <w:t>Saitta</w:t>
      </w:r>
      <w:proofErr w:type="spellEnd"/>
      <w:r w:rsidRPr="004D5F4E">
        <w:rPr>
          <w:rFonts w:ascii="Verdana" w:hAnsi="Verdana" w:cs="Andalus"/>
        </w:rPr>
        <w:t xml:space="preserve">, come Jean </w:t>
      </w:r>
      <w:proofErr w:type="spellStart"/>
      <w:r w:rsidRPr="004D5F4E">
        <w:rPr>
          <w:rFonts w:ascii="Verdana" w:hAnsi="Verdana" w:cs="Andalus"/>
        </w:rPr>
        <w:t>Joures</w:t>
      </w:r>
      <w:proofErr w:type="spellEnd"/>
      <w:r w:rsidRPr="004D5F4E">
        <w:rPr>
          <w:rFonts w:ascii="Verdana" w:hAnsi="Verdana" w:cs="Andalus"/>
        </w:rPr>
        <w:t xml:space="preserve">, </w:t>
      </w:r>
      <w:r w:rsidR="00DC6536" w:rsidRPr="004D5F4E">
        <w:rPr>
          <w:rFonts w:ascii="Verdana" w:hAnsi="Verdana" w:cs="Andalus"/>
        </w:rPr>
        <w:t>ne parla brevemente soffermandosi poi maggiormente sulla figura emergente di Robespierre e sulla sua dittatura.</w:t>
      </w:r>
      <w:r w:rsidRPr="004D5F4E">
        <w:rPr>
          <w:rFonts w:ascii="Verdana" w:hAnsi="Verdana" w:cs="Andalus"/>
        </w:rPr>
        <w:t xml:space="preserve"> </w:t>
      </w:r>
    </w:p>
    <w:p w:rsidR="007B7DDC" w:rsidRPr="004D5F4E" w:rsidRDefault="007B7DDC" w:rsidP="00DC6536">
      <w:pPr>
        <w:spacing w:after="0"/>
        <w:jc w:val="both"/>
        <w:rPr>
          <w:rFonts w:ascii="Verdana" w:hAnsi="Verdana" w:cs="Andalus"/>
        </w:rPr>
      </w:pPr>
      <w:r w:rsidRPr="004D5F4E">
        <w:rPr>
          <w:rFonts w:ascii="Verdana" w:hAnsi="Verdana" w:cs="Andalus"/>
        </w:rPr>
        <w:t xml:space="preserve">Lo storico </w:t>
      </w:r>
      <w:r w:rsidRPr="004D5F4E">
        <w:rPr>
          <w:rFonts w:ascii="Verdana" w:hAnsi="Verdana" w:cs="Andalus"/>
          <w:u w:val="single"/>
        </w:rPr>
        <w:t>Albert</w:t>
      </w:r>
      <w:r w:rsidRPr="004D5F4E">
        <w:rPr>
          <w:rFonts w:ascii="Verdana" w:hAnsi="Verdana" w:cs="Andalus"/>
        </w:rPr>
        <w:t xml:space="preserve"> </w:t>
      </w:r>
      <w:proofErr w:type="spellStart"/>
      <w:r w:rsidRPr="004D5F4E">
        <w:rPr>
          <w:rFonts w:ascii="Verdana" w:hAnsi="Verdana" w:cs="Andalus"/>
          <w:u w:val="single"/>
        </w:rPr>
        <w:t>Mathiez</w:t>
      </w:r>
      <w:proofErr w:type="spellEnd"/>
      <w:r w:rsidRPr="004D5F4E">
        <w:rPr>
          <w:rFonts w:ascii="Verdana" w:hAnsi="Verdana" w:cs="Andalus"/>
        </w:rPr>
        <w:t>, dopo una breve descrizione del rientro della Convenzione in parlamento, scrive</w:t>
      </w:r>
      <w:r w:rsidR="00F91797" w:rsidRPr="004D5F4E">
        <w:rPr>
          <w:rFonts w:ascii="Verdana" w:hAnsi="Verdana" w:cs="Andalus"/>
        </w:rPr>
        <w:t>: “I girondini furono vinti perché avendo scatenato la guerra, non seppero procurare la vittoria, perché avendo per primi denunciato il re e auspicata la repubblica non seppero risolversi a rovesciare l’uno e  a proclamare l’altra, perché esitarono in tutti i momenti decisivi: alla vigilia del 10 agosto e alla vigilia del 21 gennaio. Il 2 giugno fu ben più di una rivoluzione politica, i sanculotti rovesciarono non solo un partito, ma , fino a un certo punto, una classe sociale” (</w:t>
      </w:r>
      <w:proofErr w:type="spellStart"/>
      <w:r w:rsidR="00F91797" w:rsidRPr="004D5F4E">
        <w:rPr>
          <w:rFonts w:ascii="Verdana" w:hAnsi="Verdana" w:cs="Andalus"/>
        </w:rPr>
        <w:t>Revolution</w:t>
      </w:r>
      <w:proofErr w:type="spellEnd"/>
      <w:r w:rsidR="00F91797" w:rsidRPr="004D5F4E">
        <w:rPr>
          <w:rFonts w:ascii="Verdana" w:hAnsi="Verdana" w:cs="Andalus"/>
        </w:rPr>
        <w:t xml:space="preserve">  </w:t>
      </w:r>
      <w:proofErr w:type="spellStart"/>
      <w:r w:rsidR="00F91797" w:rsidRPr="004D5F4E">
        <w:rPr>
          <w:rFonts w:ascii="Verdana" w:hAnsi="Verdana" w:cs="Andalus"/>
        </w:rPr>
        <w:t>Francais</w:t>
      </w:r>
      <w:proofErr w:type="spellEnd"/>
      <w:r w:rsidR="00F91797" w:rsidRPr="004D5F4E">
        <w:rPr>
          <w:rFonts w:ascii="Verdana" w:hAnsi="Verdana" w:cs="Andalus"/>
        </w:rPr>
        <w:t xml:space="preserve">, </w:t>
      </w:r>
      <w:r w:rsidRPr="004D5F4E">
        <w:rPr>
          <w:rFonts w:ascii="Verdana" w:hAnsi="Verdana" w:cs="Andalus"/>
        </w:rPr>
        <w:t xml:space="preserve">1924). </w:t>
      </w:r>
    </w:p>
    <w:p w:rsidR="00D2622D" w:rsidRDefault="007A4E96" w:rsidP="008A2C84">
      <w:pPr>
        <w:spacing w:after="0"/>
        <w:jc w:val="both"/>
        <w:rPr>
          <w:rFonts w:ascii="Verdana" w:hAnsi="Verdana" w:cs="Andalus"/>
        </w:rPr>
      </w:pPr>
      <w:r w:rsidRPr="004D5F4E">
        <w:rPr>
          <w:rFonts w:ascii="Verdana" w:hAnsi="Verdana" w:cs="Andalus"/>
        </w:rPr>
        <w:lastRenderedPageBreak/>
        <w:t xml:space="preserve">La grande drammatizzazione di questi avvenimenti è dovuta soprattutto alla guerra che la Gironda, a capo della quale c’era </w:t>
      </w:r>
      <w:proofErr w:type="spellStart"/>
      <w:r w:rsidRPr="004D5F4E">
        <w:rPr>
          <w:rFonts w:ascii="Verdana" w:hAnsi="Verdana" w:cs="Andalus"/>
        </w:rPr>
        <w:t>Brissot</w:t>
      </w:r>
      <w:proofErr w:type="spellEnd"/>
      <w:r w:rsidRPr="004D5F4E">
        <w:rPr>
          <w:rFonts w:ascii="Verdana" w:hAnsi="Verdana" w:cs="Andalus"/>
        </w:rPr>
        <w:t xml:space="preserve">, aveva voluto contro l’Austria e la Prussia. Ognuno aveva i suoi interessi nel proclamare guerra ai vicini: il re sperava che la Francia perdesse per restaurare la monarchia assoluta e l’Ancièn Regime, mentre la Gironda, a seguito della fuga del re, premeva per una guerra preventiva che sarebbe comunque scoppiata. La guerra venne vinta dalla Francia, o meglio dai sanculotti che marciarono sia sul palazzo del re, sia su </w:t>
      </w:r>
      <w:proofErr w:type="spellStart"/>
      <w:r w:rsidRPr="004D5F4E">
        <w:rPr>
          <w:rFonts w:ascii="Verdana" w:hAnsi="Verdana" w:cs="Andalus"/>
        </w:rPr>
        <w:t>Valm</w:t>
      </w:r>
      <w:r w:rsidR="00D2622D" w:rsidRPr="004D5F4E">
        <w:rPr>
          <w:rFonts w:ascii="Verdana" w:hAnsi="Verdana" w:cs="Andalus"/>
        </w:rPr>
        <w:t>ie</w:t>
      </w:r>
      <w:proofErr w:type="spellEnd"/>
      <w:r w:rsidR="00D2622D" w:rsidRPr="004D5F4E">
        <w:rPr>
          <w:rFonts w:ascii="Verdana" w:hAnsi="Verdana" w:cs="Andalus"/>
        </w:rPr>
        <w:t xml:space="preserve">, in aiuto dei compatrioti, decretando la fine della monarchia e l’inizio della repubblica. </w:t>
      </w:r>
    </w:p>
    <w:p w:rsidR="00C50D11" w:rsidRPr="00C50D11" w:rsidRDefault="002F64F2" w:rsidP="00C50D11">
      <w:pPr>
        <w:spacing w:after="0"/>
        <w:jc w:val="both"/>
        <w:rPr>
          <w:rFonts w:ascii="Verdana" w:hAnsi="Verdana" w:cs="Andalus"/>
        </w:rPr>
      </w:pPr>
      <w:r w:rsidRPr="004D5F4E">
        <w:rPr>
          <w:rFonts w:ascii="Verdana" w:hAnsi="Verdana" w:cs="Andalus"/>
        </w:rPr>
        <w:t xml:space="preserve">Siamo nel periodo della crisi </w:t>
      </w:r>
      <w:r w:rsidR="008A2C84">
        <w:rPr>
          <w:rFonts w:ascii="Verdana" w:hAnsi="Verdana" w:cs="Andalus"/>
        </w:rPr>
        <w:t>della rivoluzione francese</w:t>
      </w:r>
      <w:r w:rsidRPr="004D5F4E">
        <w:rPr>
          <w:rFonts w:ascii="Verdana" w:hAnsi="Verdana" w:cs="Andalus"/>
        </w:rPr>
        <w:t xml:space="preserve"> ed è presente una pluralità di poteri, ovvero, il parlamento (la Convenzione Nazionale), le sezioni parigine (la Comune), il dipartimento di Parigi e il Comitato di salute pubblica. </w:t>
      </w:r>
      <w:r>
        <w:rPr>
          <w:rFonts w:ascii="Verdana" w:hAnsi="Verdana" w:cs="Andalus"/>
        </w:rPr>
        <w:t>Luciano Canfora presenta questa pluralità come effetto della questione</w:t>
      </w:r>
      <w:r w:rsidRPr="004D5F4E">
        <w:rPr>
          <w:rFonts w:ascii="Verdana" w:hAnsi="Verdana" w:cs="Andalus"/>
        </w:rPr>
        <w:t xml:space="preserve"> popolo-rappresentanza, il cui tema chiave è la divisione in fazioni e la loro legittimità. Sa</w:t>
      </w:r>
      <w:r w:rsidR="00ED6C62">
        <w:rPr>
          <w:rFonts w:ascii="Verdana" w:hAnsi="Verdana" w:cs="Andalus"/>
        </w:rPr>
        <w:t>i</w:t>
      </w:r>
      <w:r w:rsidRPr="004D5F4E">
        <w:rPr>
          <w:rFonts w:ascii="Verdana" w:hAnsi="Verdana" w:cs="Andalus"/>
        </w:rPr>
        <w:t>n</w:t>
      </w:r>
      <w:r w:rsidR="00ED6C62">
        <w:rPr>
          <w:rFonts w:ascii="Verdana" w:hAnsi="Verdana" w:cs="Andalus"/>
        </w:rPr>
        <w:t xml:space="preserve">t </w:t>
      </w:r>
      <w:proofErr w:type="spellStart"/>
      <w:r w:rsidR="00ED6C62">
        <w:rPr>
          <w:rFonts w:ascii="Verdana" w:hAnsi="Verdana" w:cs="Andalus"/>
        </w:rPr>
        <w:t>J</w:t>
      </w:r>
      <w:r w:rsidRPr="004D5F4E">
        <w:rPr>
          <w:rFonts w:ascii="Verdana" w:hAnsi="Verdana" w:cs="Andalus"/>
        </w:rPr>
        <w:t>uste</w:t>
      </w:r>
      <w:proofErr w:type="spellEnd"/>
      <w:r w:rsidRPr="004D5F4E">
        <w:rPr>
          <w:rFonts w:ascii="Verdana" w:hAnsi="Verdana" w:cs="Andalus"/>
        </w:rPr>
        <w:t>, esponente della Montagna, condanna quest</w:t>
      </w:r>
      <w:r w:rsidR="00AA120B">
        <w:rPr>
          <w:rFonts w:ascii="Verdana" w:hAnsi="Verdana" w:cs="Andalus"/>
        </w:rPr>
        <w:t xml:space="preserve">e fazioni dicendo che “devono essere illegali perché la virtù è una e non si può tagliare in partiti”. </w:t>
      </w:r>
      <w:r>
        <w:rPr>
          <w:rFonts w:ascii="Verdana" w:hAnsi="Verdana" w:cs="Andalus"/>
        </w:rPr>
        <w:t xml:space="preserve">Inoltre </w:t>
      </w:r>
      <w:r w:rsidR="008A2C84">
        <w:rPr>
          <w:rFonts w:ascii="Verdana" w:hAnsi="Verdana" w:cs="Andalus"/>
        </w:rPr>
        <w:t xml:space="preserve">il popolo è il soggetto principale della democrazia e ha il diritto di riprendersi il potere che ha delegato hai deputati se questa non è esercitata a dovere. Tuttavia il vero problema della questione non è tanto com’è esercitata la democrazia, ma quale popolo ne è soggetto, in quanto il popolo di Parigi aveva un potere diverso, maggiore, rispetto al popolo dei dipartimenti. In primo luogo era rappresentato dalla Comune, e poi non tutti i dipartimenti francesi avevano i propri delegati in parlamento (la </w:t>
      </w:r>
      <w:proofErr w:type="spellStart"/>
      <w:r w:rsidR="008A2C84">
        <w:rPr>
          <w:rFonts w:ascii="Verdana" w:hAnsi="Verdana" w:cs="Andalus"/>
        </w:rPr>
        <w:t>Vandea</w:t>
      </w:r>
      <w:proofErr w:type="spellEnd"/>
      <w:r w:rsidR="008A2C84">
        <w:rPr>
          <w:rFonts w:ascii="Verdana" w:hAnsi="Verdana" w:cs="Andalus"/>
        </w:rPr>
        <w:t>, che si era ribellata,</w:t>
      </w:r>
      <w:r w:rsidR="00ED6C62">
        <w:rPr>
          <w:rFonts w:ascii="Verdana" w:hAnsi="Verdana" w:cs="Andalus"/>
        </w:rPr>
        <w:t xml:space="preserve"> non aveva votato e tutto il resto del paese era devastato dalla guerra civile. Gli stessi girondini, che come inizialmente si è detto, erano federalisti, provenendo dal sud-ovest della Francia, posero questa domanda a </w:t>
      </w:r>
      <w:proofErr w:type="spellStart"/>
      <w:r w:rsidR="00ED6C62">
        <w:rPr>
          <w:rFonts w:ascii="Verdana" w:hAnsi="Verdana" w:cs="Andalus"/>
        </w:rPr>
        <w:t>Danton</w:t>
      </w:r>
      <w:proofErr w:type="spellEnd"/>
      <w:r w:rsidR="00ED6C62">
        <w:rPr>
          <w:rFonts w:ascii="Verdana" w:hAnsi="Verdana" w:cs="Andalus"/>
        </w:rPr>
        <w:t xml:space="preserve">, che rimase estremamente vago:”Voi mi chiedete quale popolo? Questo popolo è immenso, è la sentinella avanzata della Repubblica. Ci si ripete spesso </w:t>
      </w:r>
      <w:r w:rsidR="004B6DE5">
        <w:rPr>
          <w:rFonts w:ascii="Verdana" w:hAnsi="Verdana" w:cs="Andalus"/>
        </w:rPr>
        <w:t>che il popolo deve esprimersi legalmente, ma se lo avesse fatto non avrei mai compiuto un passo sul cammino della libertà</w:t>
      </w:r>
      <w:r w:rsidR="007F16C9">
        <w:rPr>
          <w:rFonts w:ascii="Verdana" w:hAnsi="Verdana" w:cs="Andalus"/>
        </w:rPr>
        <w:t>”</w:t>
      </w:r>
      <w:r w:rsidR="004B6DE5">
        <w:rPr>
          <w:rFonts w:ascii="Verdana" w:hAnsi="Verdana" w:cs="Andalus"/>
        </w:rPr>
        <w:t>.</w:t>
      </w:r>
    </w:p>
    <w:p w:rsidR="002F64F2" w:rsidRPr="00C50D11" w:rsidRDefault="002F64F2">
      <w:pPr>
        <w:spacing w:after="0"/>
        <w:jc w:val="both"/>
        <w:rPr>
          <w:rFonts w:ascii="Verdana" w:hAnsi="Verdana" w:cs="Andalus"/>
        </w:rPr>
      </w:pPr>
    </w:p>
    <w:sectPr w:rsidR="002F64F2" w:rsidRPr="00C50D11" w:rsidSect="003F3990">
      <w:pgSz w:w="12240" w:h="15840" w:code="1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C3EF4"/>
    <w:multiLevelType w:val="hybridMultilevel"/>
    <w:tmpl w:val="BF302704"/>
    <w:lvl w:ilvl="0" w:tplc="A190A462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14E1C"/>
    <w:multiLevelType w:val="hybridMultilevel"/>
    <w:tmpl w:val="984ADA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1C687F"/>
    <w:multiLevelType w:val="hybridMultilevel"/>
    <w:tmpl w:val="F6C6CC5E"/>
    <w:lvl w:ilvl="0" w:tplc="AEE40180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380DF7"/>
    <w:rsid w:val="00156E9D"/>
    <w:rsid w:val="00186909"/>
    <w:rsid w:val="001B71D3"/>
    <w:rsid w:val="00275A80"/>
    <w:rsid w:val="002F64F2"/>
    <w:rsid w:val="0033375F"/>
    <w:rsid w:val="00343363"/>
    <w:rsid w:val="00380DF7"/>
    <w:rsid w:val="003902AA"/>
    <w:rsid w:val="003F3990"/>
    <w:rsid w:val="00455156"/>
    <w:rsid w:val="004B6DE5"/>
    <w:rsid w:val="004D5F4E"/>
    <w:rsid w:val="004F5E26"/>
    <w:rsid w:val="006C45DE"/>
    <w:rsid w:val="006E3C98"/>
    <w:rsid w:val="006E5718"/>
    <w:rsid w:val="00795D86"/>
    <w:rsid w:val="007A4E96"/>
    <w:rsid w:val="007B07EE"/>
    <w:rsid w:val="007B7DDC"/>
    <w:rsid w:val="007F16C9"/>
    <w:rsid w:val="007F3470"/>
    <w:rsid w:val="00835E7E"/>
    <w:rsid w:val="00853599"/>
    <w:rsid w:val="008A2C84"/>
    <w:rsid w:val="008C459F"/>
    <w:rsid w:val="00906B1F"/>
    <w:rsid w:val="00953407"/>
    <w:rsid w:val="00A66DF0"/>
    <w:rsid w:val="00AA120B"/>
    <w:rsid w:val="00B007DA"/>
    <w:rsid w:val="00BB6103"/>
    <w:rsid w:val="00BF3C2E"/>
    <w:rsid w:val="00C50D11"/>
    <w:rsid w:val="00C75AE4"/>
    <w:rsid w:val="00CE2D75"/>
    <w:rsid w:val="00D2622D"/>
    <w:rsid w:val="00DC4509"/>
    <w:rsid w:val="00DC6536"/>
    <w:rsid w:val="00E015C8"/>
    <w:rsid w:val="00E2564C"/>
    <w:rsid w:val="00E36BAA"/>
    <w:rsid w:val="00E9287A"/>
    <w:rsid w:val="00ED2738"/>
    <w:rsid w:val="00ED6C62"/>
    <w:rsid w:val="00F91797"/>
    <w:rsid w:val="00F93779"/>
    <w:rsid w:val="00FA1E44"/>
    <w:rsid w:val="00FD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E44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75A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75A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5B64"/>
    <w:pPr>
      <w:ind w:left="720"/>
      <w:contextualSpacing/>
    </w:pPr>
  </w:style>
  <w:style w:type="paragraph" w:styleId="Nessunaspaziatura">
    <w:name w:val="No Spacing"/>
    <w:uiPriority w:val="1"/>
    <w:qFormat/>
    <w:rsid w:val="00C75AE4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C75A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75AE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5A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5A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BDD17-6EBD-49D1-8DE9-C5A4D91A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Viola</cp:lastModifiedBy>
  <cp:revision>2</cp:revision>
  <cp:lastPrinted>2013-03-08T17:34:00Z</cp:lastPrinted>
  <dcterms:created xsi:type="dcterms:W3CDTF">2013-03-08T18:39:00Z</dcterms:created>
  <dcterms:modified xsi:type="dcterms:W3CDTF">2013-03-08T18:39:00Z</dcterms:modified>
</cp:coreProperties>
</file>