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36B" w:rsidRDefault="00D6536B" w:rsidP="00B411A7">
      <w:pPr>
        <w:pStyle w:val="Heading2"/>
      </w:pPr>
      <w:r>
        <w:t xml:space="preserve">Section 4 </w:t>
      </w:r>
      <w:r>
        <w:tab/>
        <w:t xml:space="preserve"> PARENTS AND FAMILIES   </w:t>
      </w:r>
    </w:p>
    <w:p w:rsidR="00D6536B" w:rsidRDefault="00B411A7" w:rsidP="00B411A7">
      <w:pPr>
        <w:pStyle w:val="Heading3"/>
      </w:pPr>
      <w:r>
        <w:t xml:space="preserve">INTENDED OUTCOMES </w:t>
      </w:r>
    </w:p>
    <w:p w:rsidR="00D6536B" w:rsidRDefault="00D6536B" w:rsidP="00D6536B">
      <w:pPr>
        <w:rPr>
          <w:rFonts w:ascii="Calibri" w:hAnsi="Calibri" w:cs="Arial"/>
          <w:b/>
          <w:bCs/>
        </w:rPr>
      </w:pPr>
      <w:r w:rsidRPr="00CD04C3">
        <w:rPr>
          <w:rFonts w:ascii="Calibri" w:hAnsi="Calibri" w:cs="Arial"/>
          <w:b/>
          <w:bCs/>
        </w:rPr>
        <w:t>Parents and families participating in partnerships that provide an informed and supportive environment for all young people to enable lifelong learning and career and pathway planning, and improve their education and transition outcomes.</w:t>
      </w:r>
    </w:p>
    <w:p w:rsidR="00D6536B" w:rsidRPr="00412B3A" w:rsidRDefault="00B411A7" w:rsidP="00B411A7">
      <w:pPr>
        <w:pStyle w:val="Heading3"/>
      </w:pPr>
      <w:r w:rsidRPr="00412B3A">
        <w:t xml:space="preserve">EVIDENCE BASE </w:t>
      </w:r>
    </w:p>
    <w:p w:rsidR="00D6536B" w:rsidRDefault="00D6536B" w:rsidP="00B411A7">
      <w:pPr>
        <w:pStyle w:val="Heading4"/>
      </w:pPr>
      <w:r w:rsidRPr="00412B3A">
        <w:t xml:space="preserve">Strategic Conversations </w:t>
      </w:r>
    </w:p>
    <w:p w:rsidR="00D6536B" w:rsidRDefault="00D6536B" w:rsidP="00D6536B">
      <w:r>
        <w:rPr>
          <w:rFonts w:ascii="Calibri" w:hAnsi="Calibri" w:cs="Arial"/>
          <w:bCs/>
        </w:rPr>
        <w:t>IN February 2010n</w:t>
      </w:r>
      <w:proofErr w:type="gramStart"/>
      <w:r>
        <w:rPr>
          <w:rFonts w:ascii="Calibri" w:hAnsi="Calibri" w:cs="Arial"/>
          <w:bCs/>
        </w:rPr>
        <w:t>,ten</w:t>
      </w:r>
      <w:proofErr w:type="gramEnd"/>
      <w:r>
        <w:rPr>
          <w:rFonts w:ascii="Calibri" w:hAnsi="Calibri" w:cs="Arial"/>
          <w:bCs/>
        </w:rPr>
        <w:t xml:space="preserve"> hours of workshopping was facilitated by  a TSFPB with the Acting CEO  of the </w:t>
      </w:r>
      <w:r w:rsidRPr="00412B3A">
        <w:t>National Family-School &amp; Community Partnerships Bureau</w:t>
      </w:r>
      <w:r>
        <w:t xml:space="preserve"> / Australian Council of State School Organisations and a Senior Executive Officer of the Metropolitan East Regions of The Queensland Parents and Citizens Association to design "Next Practice Parent Engagement strategies" in response to changed parent interests and expectations.</w:t>
      </w:r>
    </w:p>
    <w:p w:rsidR="00D6536B" w:rsidRDefault="00D6536B" w:rsidP="00B411A7">
      <w:pPr>
        <w:pStyle w:val="Heading4"/>
      </w:pPr>
      <w:r>
        <w:t xml:space="preserve">Document Analysis </w:t>
      </w:r>
    </w:p>
    <w:p w:rsidR="000A7A29" w:rsidRDefault="000A7A29" w:rsidP="00D6536B">
      <w:r>
        <w:t xml:space="preserve">Appendix 1   </w:t>
      </w:r>
      <w:proofErr w:type="gramStart"/>
      <w:r>
        <w:t>The  evidence</w:t>
      </w:r>
      <w:proofErr w:type="gramEnd"/>
      <w:r>
        <w:t xml:space="preserve"> base that underpins identified  trends and issues of parent engagement @ the global level </w:t>
      </w:r>
    </w:p>
    <w:p w:rsidR="000A7A29" w:rsidRDefault="000A7A29" w:rsidP="00D6536B">
      <w:r>
        <w:t xml:space="preserve">Appendix 2 </w:t>
      </w:r>
      <w:r>
        <w:tab/>
      </w:r>
      <w:proofErr w:type="gramStart"/>
      <w:r>
        <w:t>The  evidence</w:t>
      </w:r>
      <w:proofErr w:type="gramEnd"/>
      <w:r>
        <w:t xml:space="preserve"> base that underpins identified  trends and issues of parent engagement @ the National  level</w:t>
      </w:r>
    </w:p>
    <w:p w:rsidR="000A7A29" w:rsidRDefault="000A7A29" w:rsidP="00D6536B">
      <w:r>
        <w:t xml:space="preserve">Appendix 3 </w:t>
      </w:r>
      <w:r>
        <w:tab/>
      </w:r>
      <w:proofErr w:type="gramStart"/>
      <w:r>
        <w:t>The  evidence</w:t>
      </w:r>
      <w:proofErr w:type="gramEnd"/>
      <w:r>
        <w:t xml:space="preserve"> base that underpins identified  trends and issues of parent engagement @ the State  level</w:t>
      </w:r>
    </w:p>
    <w:p w:rsidR="00E57DDB" w:rsidRDefault="000A7A29" w:rsidP="00D6536B">
      <w:r>
        <w:t>Appendix 4</w:t>
      </w:r>
      <w:r>
        <w:tab/>
        <w:t xml:space="preserve"> The map </w:t>
      </w:r>
      <w:proofErr w:type="gramStart"/>
      <w:r>
        <w:t>of  state</w:t>
      </w:r>
      <w:proofErr w:type="gramEnd"/>
      <w:r>
        <w:t xml:space="preserve"> and regional</w:t>
      </w:r>
      <w:r w:rsidR="00E57DDB">
        <w:t xml:space="preserve">   </w:t>
      </w:r>
    </w:p>
    <w:p w:rsidR="00E57DDB" w:rsidRDefault="00E57DDB" w:rsidP="00E57DDB">
      <w:pPr>
        <w:pStyle w:val="ListParagraph"/>
        <w:numPr>
          <w:ilvl w:val="0"/>
          <w:numId w:val="7"/>
        </w:numPr>
      </w:pPr>
      <w:r>
        <w:t xml:space="preserve">Legislative parameters around parent participation in education </w:t>
      </w:r>
    </w:p>
    <w:p w:rsidR="00E57DDB" w:rsidRDefault="00E57DDB" w:rsidP="00E57DDB">
      <w:pPr>
        <w:pStyle w:val="ListParagraph"/>
        <w:numPr>
          <w:ilvl w:val="0"/>
          <w:numId w:val="7"/>
        </w:numPr>
      </w:pPr>
      <w:r>
        <w:t xml:space="preserve">representative structures and networks that provide avenues for parent voice in educational policy and practice </w:t>
      </w:r>
    </w:p>
    <w:p w:rsidR="000A7A29" w:rsidRDefault="00E57DDB" w:rsidP="00E57DDB">
      <w:pPr>
        <w:pStyle w:val="ListParagraph"/>
        <w:numPr>
          <w:ilvl w:val="0"/>
          <w:numId w:val="7"/>
        </w:numPr>
      </w:pPr>
      <w:r>
        <w:t xml:space="preserve"> programs that support parent partnerships </w:t>
      </w:r>
    </w:p>
    <w:p w:rsidR="000A7A29" w:rsidRDefault="00E57DDB" w:rsidP="000A7A29">
      <w:pPr>
        <w:pStyle w:val="ListParagraph"/>
        <w:numPr>
          <w:ilvl w:val="0"/>
          <w:numId w:val="7"/>
        </w:numPr>
      </w:pPr>
      <w:r>
        <w:t xml:space="preserve">Existing partnerships between </w:t>
      </w:r>
      <w:proofErr w:type="gramStart"/>
      <w:r>
        <w:t>parents ,business</w:t>
      </w:r>
      <w:proofErr w:type="gramEnd"/>
      <w:r>
        <w:t>&amp; industry  ,community  and Education and training .</w:t>
      </w:r>
    </w:p>
    <w:p w:rsidR="007F0C66" w:rsidRDefault="00B411A7" w:rsidP="00B411A7">
      <w:pPr>
        <w:pStyle w:val="Heading3"/>
      </w:pPr>
      <w:r>
        <w:t>OPPORTUNITIES A</w:t>
      </w:r>
      <w:r w:rsidRPr="0004024B">
        <w:t xml:space="preserve">VAILABLE TO </w:t>
      </w:r>
      <w:proofErr w:type="gramStart"/>
      <w:r w:rsidRPr="0004024B">
        <w:t xml:space="preserve">TSFPB </w:t>
      </w:r>
      <w:r>
        <w:t xml:space="preserve"> TO</w:t>
      </w:r>
      <w:proofErr w:type="gramEnd"/>
      <w:r>
        <w:t xml:space="preserve"> STRENGTHEN </w:t>
      </w:r>
      <w:r w:rsidRPr="00CD04C3">
        <w:t xml:space="preserve">PARENTS AND FAMILIES PARTICIPATING IN </w:t>
      </w:r>
      <w:r w:rsidR="004E6AF9">
        <w:t>PART</w:t>
      </w:r>
      <w:r>
        <w:t xml:space="preserve">NERSHIPS </w:t>
      </w:r>
    </w:p>
    <w:p w:rsidR="00B411A7" w:rsidRDefault="00B411A7" w:rsidP="00E57DDB">
      <w:pPr>
        <w:rPr>
          <w:rFonts w:ascii="Calibri" w:hAnsi="Calibri" w:cs="Arial"/>
          <w:b/>
          <w:bCs/>
        </w:rPr>
      </w:pPr>
    </w:p>
    <w:p w:rsidR="009E5462" w:rsidRDefault="00B411A7" w:rsidP="009E5462">
      <w:pPr>
        <w:pStyle w:val="Heading3"/>
      </w:pPr>
      <w:proofErr w:type="gramStart"/>
      <w:r>
        <w:t xml:space="preserve">Leverage </w:t>
      </w:r>
      <w:r w:rsidR="009E5462">
        <w:t xml:space="preserve"> e</w:t>
      </w:r>
      <w:r w:rsidR="007F0C66">
        <w:t>xisting</w:t>
      </w:r>
      <w:proofErr w:type="gramEnd"/>
      <w:r w:rsidR="007F0C66">
        <w:t xml:space="preserve"> TSF </w:t>
      </w:r>
      <w:r w:rsidR="00E6153E">
        <w:t xml:space="preserve"> programs </w:t>
      </w:r>
    </w:p>
    <w:p w:rsidR="00E6153E" w:rsidRDefault="009E5462" w:rsidP="00E57DDB">
      <w:r w:rsidRPr="009E5462">
        <w:rPr>
          <w:rFonts w:ascii="Calibri" w:hAnsi="Calibri" w:cs="Arial"/>
          <w:bCs/>
        </w:rPr>
        <w:t xml:space="preserve">Existing </w:t>
      </w:r>
      <w:proofErr w:type="gramStart"/>
      <w:r w:rsidRPr="009E5462">
        <w:rPr>
          <w:rFonts w:ascii="Calibri" w:hAnsi="Calibri" w:cs="Arial"/>
          <w:bCs/>
        </w:rPr>
        <w:t>TSF  programs</w:t>
      </w:r>
      <w:proofErr w:type="gramEnd"/>
      <w:r w:rsidRPr="009E5462">
        <w:rPr>
          <w:rFonts w:ascii="Calibri" w:hAnsi="Calibri" w:cs="Arial"/>
          <w:bCs/>
        </w:rPr>
        <w:t xml:space="preserve"> </w:t>
      </w:r>
      <w:r w:rsidR="00E6153E" w:rsidRPr="009E5462">
        <w:rPr>
          <w:rFonts w:ascii="Calibri" w:hAnsi="Calibri" w:cs="Arial"/>
          <w:bCs/>
        </w:rPr>
        <w:t>for students</w:t>
      </w:r>
      <w:r w:rsidR="00E6153E">
        <w:rPr>
          <w:rFonts w:ascii="Calibri" w:hAnsi="Calibri" w:cs="Arial"/>
          <w:b/>
          <w:bCs/>
        </w:rPr>
        <w:t xml:space="preserve"> </w:t>
      </w:r>
      <w:r w:rsidR="007F0C66" w:rsidRPr="00A325C3">
        <w:t xml:space="preserve"> in their Secondary school Years (12-18), </w:t>
      </w:r>
      <w:r w:rsidR="00E6153E">
        <w:t xml:space="preserve">focussed on  </w:t>
      </w:r>
      <w:r w:rsidR="007F0C66" w:rsidRPr="00A325C3">
        <w:t xml:space="preserve"> building their capacity to make successful transitions from school to work and or further education (through a range of programs including the </w:t>
      </w:r>
      <w:proofErr w:type="spellStart"/>
      <w:r w:rsidR="007F0C66" w:rsidRPr="00A325C3">
        <w:rPr>
          <w:i/>
        </w:rPr>
        <w:t>iTrack</w:t>
      </w:r>
      <w:proofErr w:type="spellEnd"/>
      <w:r w:rsidR="007F0C66" w:rsidRPr="00A325C3">
        <w:t xml:space="preserve"> online mentoring program and University Open Days)</w:t>
      </w:r>
      <w:r w:rsidR="00E6153E" w:rsidRPr="00E6153E">
        <w:t xml:space="preserve"> </w:t>
      </w:r>
      <w:r w:rsidR="00E6153E">
        <w:t xml:space="preserve">and the </w:t>
      </w:r>
      <w:r w:rsidR="00E6153E" w:rsidRPr="00A325C3">
        <w:t xml:space="preserve">Tertiary Scholarship Scheme </w:t>
      </w:r>
      <w:r w:rsidR="00E6153E">
        <w:t xml:space="preserve">for </w:t>
      </w:r>
      <w:r w:rsidR="00E6153E" w:rsidRPr="00A325C3">
        <w:t>18-24 age group</w:t>
      </w:r>
      <w:r w:rsidR="00E6153E">
        <w:t xml:space="preserve"> provide and extensive internal experience and expertise base in working beside  students and their parents .</w:t>
      </w:r>
    </w:p>
    <w:p w:rsidR="00E6153E" w:rsidRDefault="00E6153E" w:rsidP="00E6153E">
      <w:pPr>
        <w:pStyle w:val="ListParagraph"/>
        <w:numPr>
          <w:ilvl w:val="0"/>
          <w:numId w:val="10"/>
        </w:numPr>
      </w:pPr>
      <w:r>
        <w:t xml:space="preserve">TSF is already a trusted third party broker outside education and training /Parent </w:t>
      </w:r>
      <w:proofErr w:type="gramStart"/>
      <w:r>
        <w:t>structures  and</w:t>
      </w:r>
      <w:proofErr w:type="gramEnd"/>
      <w:r>
        <w:t xml:space="preserve"> provides the opportunity to  access and strengthen an unfiltered student voice in partnerships and practices as students exert increasingly </w:t>
      </w:r>
      <w:r>
        <w:lastRenderedPageBreak/>
        <w:t xml:space="preserve">autonomous decisions about their educational pathways </w:t>
      </w:r>
      <w:r w:rsidR="00E873A0">
        <w:t xml:space="preserve">in the 12-24 age cohort </w:t>
      </w:r>
      <w:r>
        <w:t xml:space="preserve"> . This is especially valid for  Low SES students and their parents  </w:t>
      </w:r>
    </w:p>
    <w:p w:rsidR="00E873A0" w:rsidRDefault="00E873A0" w:rsidP="00E873A0">
      <w:pPr>
        <w:pStyle w:val="ListParagraph"/>
        <w:ind w:left="360"/>
      </w:pPr>
    </w:p>
    <w:p w:rsidR="009E5462" w:rsidRDefault="009E5462" w:rsidP="009E5462">
      <w:pPr>
        <w:pStyle w:val="Heading3"/>
      </w:pPr>
      <w:r>
        <w:t xml:space="preserve">Strong research support for an expanded role for parent partnerships </w:t>
      </w:r>
    </w:p>
    <w:p w:rsidR="000E47D7" w:rsidRDefault="000E47D7" w:rsidP="000E47D7">
      <w:pPr>
        <w:autoSpaceDE w:val="0"/>
        <w:autoSpaceDN w:val="0"/>
        <w:adjustRightInd w:val="0"/>
        <w:spacing w:after="0" w:line="240" w:lineRule="auto"/>
      </w:pPr>
      <w:r>
        <w:t xml:space="preserve">There is an increasing trend to establish centralised educational frameworks and devolve accountabilities to local school communities for delivery. – </w:t>
      </w:r>
    </w:p>
    <w:p w:rsidR="000E47D7" w:rsidRDefault="000E47D7" w:rsidP="000E47D7">
      <w:pPr>
        <w:autoSpaceDE w:val="0"/>
        <w:autoSpaceDN w:val="0"/>
        <w:adjustRightInd w:val="0"/>
        <w:spacing w:after="0" w:line="240" w:lineRule="auto"/>
      </w:pPr>
    </w:p>
    <w:p w:rsidR="00264068" w:rsidRDefault="00264068" w:rsidP="00E873A0">
      <w:pPr>
        <w:pStyle w:val="ListParagraph"/>
        <w:ind w:left="0"/>
        <w:rPr>
          <w:rFonts w:cs="Univers LT 55"/>
          <w:color w:val="000000"/>
        </w:rPr>
      </w:pPr>
      <w:r>
        <w:rPr>
          <w:rFonts w:cs="Univers LT 55"/>
          <w:color w:val="000000"/>
        </w:rPr>
        <w:t xml:space="preserve">The espoused position of National peak bodies </w:t>
      </w:r>
      <w:proofErr w:type="gramStart"/>
      <w:r>
        <w:rPr>
          <w:rFonts w:cs="Univers LT 55"/>
          <w:color w:val="000000"/>
        </w:rPr>
        <w:t>includes  the</w:t>
      </w:r>
      <w:proofErr w:type="gramEnd"/>
      <w:r>
        <w:rPr>
          <w:rFonts w:cs="Univers LT 55"/>
          <w:color w:val="000000"/>
        </w:rPr>
        <w:t xml:space="preserve"> following principles</w:t>
      </w:r>
    </w:p>
    <w:p w:rsidR="00264068" w:rsidRPr="00264068" w:rsidRDefault="00264068" w:rsidP="00264068">
      <w:pPr>
        <w:pStyle w:val="ListParagraph"/>
        <w:numPr>
          <w:ilvl w:val="0"/>
          <w:numId w:val="10"/>
        </w:numPr>
        <w:rPr>
          <w:rFonts w:ascii="Calibri" w:hAnsi="Calibri" w:cs="Arial"/>
          <w:b/>
          <w:bCs/>
        </w:rPr>
      </w:pPr>
      <w:r>
        <w:rPr>
          <w:rFonts w:cs="Univers LT 55"/>
          <w:color w:val="000000"/>
        </w:rPr>
        <w:t xml:space="preserve"> Families are the first and continuing educators of their </w:t>
      </w:r>
      <w:proofErr w:type="spellStart"/>
      <w:r>
        <w:rPr>
          <w:rFonts w:cs="Univers LT 55"/>
          <w:color w:val="000000"/>
        </w:rPr>
        <w:t>children.They</w:t>
      </w:r>
      <w:proofErr w:type="spellEnd"/>
      <w:r>
        <w:rPr>
          <w:rFonts w:cs="Univers LT 55"/>
          <w:color w:val="000000"/>
        </w:rPr>
        <w:t xml:space="preserve"> are </w:t>
      </w:r>
      <w:proofErr w:type="gramStart"/>
      <w:r>
        <w:rPr>
          <w:rFonts w:cs="Univers LT 55"/>
          <w:color w:val="000000"/>
        </w:rPr>
        <w:t>publicly  committed</w:t>
      </w:r>
      <w:proofErr w:type="gramEnd"/>
      <w:r>
        <w:rPr>
          <w:rFonts w:cs="Univers LT 55"/>
          <w:color w:val="000000"/>
        </w:rPr>
        <w:t xml:space="preserve"> to establishing partnerships based  mutual responsibility, respect and trust.</w:t>
      </w:r>
    </w:p>
    <w:p w:rsidR="00264068" w:rsidRDefault="00264068" w:rsidP="00264068">
      <w:pPr>
        <w:pStyle w:val="ListParagraph"/>
        <w:numPr>
          <w:ilvl w:val="0"/>
          <w:numId w:val="10"/>
        </w:numPr>
        <w:rPr>
          <w:rFonts w:ascii="Calibri" w:hAnsi="Calibri" w:cs="Arial"/>
          <w:b/>
          <w:bCs/>
        </w:rPr>
      </w:pPr>
      <w:r>
        <w:rPr>
          <w:rFonts w:ascii="Calibri" w:hAnsi="Calibri" w:cs="Arial"/>
          <w:b/>
          <w:bCs/>
        </w:rPr>
        <w:t xml:space="preserve"> </w:t>
      </w:r>
      <w:r>
        <w:rPr>
          <w:rFonts w:cs="Univers LT 55"/>
          <w:color w:val="000000"/>
        </w:rPr>
        <w:t>Families and schools value the diversity of families and use this as a resource for building partnerships and communities</w:t>
      </w:r>
    </w:p>
    <w:p w:rsidR="00264068" w:rsidRDefault="00264068" w:rsidP="00E873A0">
      <w:pPr>
        <w:pStyle w:val="ListParagraph"/>
        <w:ind w:left="0"/>
        <w:rPr>
          <w:rFonts w:ascii="Calibri" w:hAnsi="Calibri" w:cs="Arial"/>
          <w:b/>
          <w:bCs/>
        </w:rPr>
      </w:pPr>
    </w:p>
    <w:p w:rsidR="00E873A0" w:rsidRDefault="00E873A0" w:rsidP="00E873A0">
      <w:pPr>
        <w:pStyle w:val="ListParagraph"/>
        <w:ind w:left="0"/>
      </w:pPr>
      <w:r>
        <w:t xml:space="preserve">The TSFPB Regions in Queensland contain the </w:t>
      </w:r>
      <w:proofErr w:type="gramStart"/>
      <w:r>
        <w:t>" head</w:t>
      </w:r>
      <w:proofErr w:type="gramEnd"/>
      <w:r>
        <w:t xml:space="preserve"> office " of the major  parent representative groups in Catholic Education , DET and Independent School Systems  at the state level </w:t>
      </w:r>
    </w:p>
    <w:p w:rsidR="000E47D7" w:rsidRPr="00E4160C" w:rsidRDefault="000E47D7" w:rsidP="000E47D7">
      <w:pPr>
        <w:pStyle w:val="Default"/>
        <w:rPr>
          <w:rFonts w:cstheme="minorBidi"/>
          <w:color w:val="auto"/>
        </w:rPr>
      </w:pPr>
      <w:proofErr w:type="gramStart"/>
      <w:r>
        <w:rPr>
          <w:rFonts w:cstheme="minorBidi"/>
          <w:color w:val="auto"/>
        </w:rPr>
        <w:t>DEEWR  is</w:t>
      </w:r>
      <w:proofErr w:type="gramEnd"/>
      <w:r>
        <w:rPr>
          <w:rFonts w:cstheme="minorBidi"/>
          <w:color w:val="auto"/>
        </w:rPr>
        <w:t xml:space="preserve"> a sponsor common to PBP and </w:t>
      </w:r>
      <w:r w:rsidRPr="00412B3A">
        <w:t>National Family-School &amp; Community Partnerships Bureau</w:t>
      </w:r>
      <w:r>
        <w:t xml:space="preserve">, ACSSO and APC </w:t>
      </w:r>
    </w:p>
    <w:p w:rsidR="000E47D7" w:rsidRDefault="000E47D7" w:rsidP="00E873A0">
      <w:pPr>
        <w:pStyle w:val="ListParagraph"/>
        <w:ind w:left="0"/>
      </w:pPr>
    </w:p>
    <w:p w:rsidR="009E5462" w:rsidRDefault="009E5462" w:rsidP="009E5462">
      <w:pPr>
        <w:pStyle w:val="Heading3"/>
      </w:pPr>
      <w:r>
        <w:t xml:space="preserve">Grass roots demand </w:t>
      </w:r>
      <w:proofErr w:type="gramStart"/>
      <w:r>
        <w:t>for  quality</w:t>
      </w:r>
      <w:proofErr w:type="gramEnd"/>
      <w:r>
        <w:t xml:space="preserve"> data ,information and knowledge </w:t>
      </w:r>
    </w:p>
    <w:p w:rsidR="00024FA8" w:rsidRDefault="00024FA8" w:rsidP="00024FA8">
      <w:pPr>
        <w:spacing w:after="0"/>
        <w:ind w:right="-1020"/>
      </w:pPr>
      <w:proofErr w:type="gramStart"/>
      <w:r>
        <w:t>Many  parent</w:t>
      </w:r>
      <w:proofErr w:type="gramEnd"/>
      <w:r>
        <w:t xml:space="preserve"> leaders express a need for all parents  to  access information , knowledge and skills  through  a sustainable   PROGRAM OF LEARNING  designed to  deliver measured value added in parent's capacity to </w:t>
      </w:r>
    </w:p>
    <w:p w:rsidR="00024FA8" w:rsidRDefault="00024FA8" w:rsidP="00024FA8">
      <w:pPr>
        <w:pStyle w:val="ListParagraph"/>
        <w:numPr>
          <w:ilvl w:val="0"/>
          <w:numId w:val="13"/>
        </w:numPr>
        <w:spacing w:after="0"/>
        <w:ind w:right="-1020"/>
        <w:rPr>
          <w:color w:val="000000" w:themeColor="text1"/>
        </w:rPr>
      </w:pPr>
      <w:r w:rsidRPr="008526B3">
        <w:rPr>
          <w:color w:val="000000" w:themeColor="text1"/>
        </w:rPr>
        <w:t>Understand  the assumptions and hypotheses underpinning local policy,</w:t>
      </w:r>
      <w:r w:rsidRPr="008526B3">
        <w:rPr>
          <w:color w:val="000000" w:themeColor="text1"/>
        </w:rPr>
        <w:tab/>
        <w:t xml:space="preserve">programs and practices  </w:t>
      </w:r>
    </w:p>
    <w:p w:rsidR="00024FA8" w:rsidRDefault="00024FA8" w:rsidP="00024FA8">
      <w:pPr>
        <w:pStyle w:val="ListParagraph"/>
        <w:numPr>
          <w:ilvl w:val="0"/>
          <w:numId w:val="13"/>
        </w:numPr>
        <w:spacing w:after="0"/>
        <w:ind w:right="-1020"/>
        <w:rPr>
          <w:color w:val="000000" w:themeColor="text1"/>
        </w:rPr>
      </w:pPr>
      <w:r w:rsidRPr="008526B3">
        <w:rPr>
          <w:color w:val="000000" w:themeColor="text1"/>
        </w:rPr>
        <w:t xml:space="preserve">Engage  &amp; connect with a trusted network of social support and wisdom at local ,district and international levels </w:t>
      </w:r>
    </w:p>
    <w:p w:rsidR="00024FA8" w:rsidRDefault="00024FA8" w:rsidP="00024FA8">
      <w:pPr>
        <w:pStyle w:val="ListParagraph"/>
        <w:numPr>
          <w:ilvl w:val="0"/>
          <w:numId w:val="13"/>
        </w:numPr>
        <w:spacing w:after="0"/>
        <w:ind w:right="-1020"/>
        <w:rPr>
          <w:color w:val="000000" w:themeColor="text1"/>
        </w:rPr>
      </w:pPr>
      <w:proofErr w:type="gramStart"/>
      <w:r w:rsidRPr="008526B3">
        <w:rPr>
          <w:color w:val="000000" w:themeColor="text1"/>
        </w:rPr>
        <w:t>Access  trusted</w:t>
      </w:r>
      <w:proofErr w:type="gramEnd"/>
      <w:r w:rsidRPr="008526B3">
        <w:rPr>
          <w:color w:val="000000" w:themeColor="text1"/>
        </w:rPr>
        <w:t xml:space="preserve">  evidence sources  relevant to  their purpose ,their people ,and their place when they need it.</w:t>
      </w:r>
    </w:p>
    <w:p w:rsidR="00024FA8" w:rsidRDefault="00024FA8" w:rsidP="00024FA8">
      <w:pPr>
        <w:pStyle w:val="ListParagraph"/>
        <w:numPr>
          <w:ilvl w:val="0"/>
          <w:numId w:val="13"/>
        </w:numPr>
        <w:spacing w:after="0"/>
        <w:ind w:right="-1020"/>
        <w:rPr>
          <w:color w:val="000000" w:themeColor="text1"/>
        </w:rPr>
      </w:pPr>
      <w:proofErr w:type="gramStart"/>
      <w:r w:rsidRPr="008526B3">
        <w:rPr>
          <w:color w:val="000000" w:themeColor="text1"/>
        </w:rPr>
        <w:t>Develop  their</w:t>
      </w:r>
      <w:proofErr w:type="gramEnd"/>
      <w:r w:rsidRPr="008526B3">
        <w:rPr>
          <w:color w:val="000000" w:themeColor="text1"/>
        </w:rPr>
        <w:t xml:space="preserve"> existing capabilities to support AND challenge  learning practices at home at school&amp; </w:t>
      </w:r>
      <w:r>
        <w:rPr>
          <w:color w:val="000000" w:themeColor="text1"/>
        </w:rPr>
        <w:t>in the community.</w:t>
      </w:r>
    </w:p>
    <w:p w:rsidR="00024FA8" w:rsidRPr="000E47D7" w:rsidRDefault="00024FA8" w:rsidP="00024FA8">
      <w:pPr>
        <w:pStyle w:val="ListParagraph"/>
        <w:numPr>
          <w:ilvl w:val="0"/>
          <w:numId w:val="13"/>
        </w:numPr>
        <w:spacing w:after="0"/>
        <w:ind w:right="-1020"/>
        <w:rPr>
          <w:color w:val="000000" w:themeColor="text1"/>
        </w:rPr>
      </w:pPr>
      <w:r>
        <w:t>Provide the opportunity for formal recognition of learning through AQTF qualifications</w:t>
      </w:r>
    </w:p>
    <w:p w:rsidR="000E47D7" w:rsidRPr="00760487" w:rsidRDefault="000E47D7" w:rsidP="000E47D7">
      <w:pPr>
        <w:pStyle w:val="ListParagraph"/>
        <w:numPr>
          <w:ilvl w:val="0"/>
          <w:numId w:val="13"/>
        </w:numPr>
        <w:autoSpaceDE w:val="0"/>
        <w:autoSpaceDN w:val="0"/>
        <w:adjustRightInd w:val="0"/>
        <w:spacing w:after="0" w:line="240" w:lineRule="auto"/>
        <w:rPr>
          <w:rFonts w:ascii="Univers LT 55" w:hAnsi="Univers LT 55" w:cs="Univers LT 55"/>
        </w:rPr>
      </w:pPr>
      <w:r>
        <w:rPr>
          <w:rFonts w:ascii="VistaSansOT-Light" w:hAnsi="VistaSansOT-Light" w:cs="VistaSansOT-Light"/>
          <w:sz w:val="19"/>
          <w:szCs w:val="19"/>
        </w:rPr>
        <w:t>A</w:t>
      </w:r>
      <w:r w:rsidRPr="0071554D">
        <w:rPr>
          <w:rFonts w:ascii="VistaSansOT-Light" w:hAnsi="VistaSansOT-Light" w:cs="VistaSansOT-Light"/>
          <w:sz w:val="19"/>
          <w:szCs w:val="19"/>
        </w:rPr>
        <w:t xml:space="preserve">llow </w:t>
      </w:r>
      <w:r>
        <w:rPr>
          <w:rFonts w:ascii="VistaSansOT-Light" w:hAnsi="VistaSansOT-Light" w:cs="VistaSansOT-Light"/>
          <w:sz w:val="19"/>
          <w:szCs w:val="19"/>
        </w:rPr>
        <w:t>s</w:t>
      </w:r>
      <w:r w:rsidRPr="0071554D">
        <w:rPr>
          <w:rFonts w:cs="Arial"/>
          <w:color w:val="676767"/>
          <w:sz w:val="21"/>
          <w:szCs w:val="21"/>
        </w:rPr>
        <w:t>tudents</w:t>
      </w:r>
      <w:r w:rsidRPr="0071554D">
        <w:rPr>
          <w:rFonts w:cs="Arial"/>
          <w:color w:val="000000"/>
          <w:sz w:val="21"/>
          <w:szCs w:val="21"/>
        </w:rPr>
        <w:t xml:space="preserve">, teachers and parents have access to </w:t>
      </w:r>
      <w:r w:rsidRPr="0071554D">
        <w:rPr>
          <w:rFonts w:cs="Arial"/>
          <w:color w:val="676767"/>
          <w:sz w:val="21"/>
          <w:szCs w:val="21"/>
        </w:rPr>
        <w:t xml:space="preserve">digital </w:t>
      </w:r>
      <w:r w:rsidRPr="0071554D">
        <w:rPr>
          <w:rFonts w:cs="Arial"/>
          <w:color w:val="000000"/>
          <w:sz w:val="21"/>
          <w:szCs w:val="21"/>
        </w:rPr>
        <w:t xml:space="preserve">resources, </w:t>
      </w:r>
      <w:r w:rsidRPr="0071554D">
        <w:rPr>
          <w:rFonts w:cs="Arial"/>
          <w:color w:val="676767"/>
          <w:sz w:val="21"/>
          <w:szCs w:val="21"/>
        </w:rPr>
        <w:t xml:space="preserve">information </w:t>
      </w:r>
      <w:r w:rsidRPr="0071554D">
        <w:rPr>
          <w:rFonts w:cs="Arial"/>
          <w:color w:val="000000"/>
          <w:sz w:val="21"/>
          <w:szCs w:val="21"/>
        </w:rPr>
        <w:t>and tools and agreed performance data anywhere, anytime</w:t>
      </w:r>
      <w:r>
        <w:rPr>
          <w:rFonts w:cs="Arial"/>
          <w:color w:val="000000"/>
          <w:sz w:val="21"/>
          <w:szCs w:val="21"/>
        </w:rPr>
        <w:t>( Parent portal Digital Education Revolution strategic plan )</w:t>
      </w:r>
    </w:p>
    <w:p w:rsidR="00024FA8" w:rsidRPr="00024FA8" w:rsidRDefault="000E47D7" w:rsidP="000E47D7">
      <w:pPr>
        <w:pStyle w:val="ListParagraph"/>
        <w:numPr>
          <w:ilvl w:val="0"/>
          <w:numId w:val="13"/>
        </w:numPr>
        <w:autoSpaceDE w:val="0"/>
        <w:autoSpaceDN w:val="0"/>
        <w:adjustRightInd w:val="0"/>
        <w:spacing w:after="0" w:line="240" w:lineRule="auto"/>
        <w:rPr>
          <w:color w:val="000000" w:themeColor="text1"/>
        </w:rPr>
      </w:pPr>
      <w:r>
        <w:rPr>
          <w:color w:val="000000" w:themeColor="text1"/>
        </w:rPr>
        <w:t xml:space="preserve"> </w:t>
      </w:r>
    </w:p>
    <w:p w:rsidR="00024FA8" w:rsidRDefault="00024FA8" w:rsidP="00F8596B">
      <w:pPr>
        <w:pStyle w:val="ListParagraph"/>
        <w:ind w:left="0"/>
        <w:rPr>
          <w:rFonts w:ascii="Calibri" w:hAnsi="Calibri" w:cs="Arial"/>
          <w:b/>
          <w:bCs/>
        </w:rPr>
      </w:pPr>
    </w:p>
    <w:p w:rsidR="000E47D7" w:rsidRDefault="00024FA8" w:rsidP="00F8596B">
      <w:pPr>
        <w:pStyle w:val="ListParagraph"/>
        <w:ind w:left="0"/>
        <w:rPr>
          <w:rFonts w:ascii="Calibri" w:hAnsi="Calibri" w:cs="Arial"/>
          <w:b/>
          <w:bCs/>
        </w:rPr>
      </w:pPr>
      <w:r>
        <w:rPr>
          <w:rFonts w:ascii="Calibri" w:hAnsi="Calibri" w:cs="Arial"/>
          <w:b/>
          <w:bCs/>
        </w:rPr>
        <w:t xml:space="preserve">There are an identified cohort of core thought leaders </w:t>
      </w:r>
      <w:proofErr w:type="gramStart"/>
      <w:r>
        <w:rPr>
          <w:rFonts w:ascii="Calibri" w:hAnsi="Calibri" w:cs="Arial"/>
          <w:b/>
          <w:bCs/>
        </w:rPr>
        <w:t>within  TSF</w:t>
      </w:r>
      <w:proofErr w:type="gramEnd"/>
      <w:r>
        <w:rPr>
          <w:rFonts w:ascii="Calibri" w:hAnsi="Calibri" w:cs="Arial"/>
          <w:b/>
          <w:bCs/>
        </w:rPr>
        <w:t xml:space="preserve"> PB Regions who are committed to exploring partnership possibilities to  develop and sustain  a  PARENT PROGRAM OF LEARNING </w:t>
      </w:r>
    </w:p>
    <w:p w:rsidR="000E47D7" w:rsidRDefault="000E47D7" w:rsidP="00F8596B">
      <w:pPr>
        <w:pStyle w:val="ListParagraph"/>
        <w:ind w:left="0"/>
        <w:rPr>
          <w:rFonts w:ascii="Calibri" w:hAnsi="Calibri" w:cs="Arial"/>
          <w:b/>
          <w:bCs/>
        </w:rPr>
      </w:pPr>
    </w:p>
    <w:p w:rsidR="00F8596B" w:rsidRDefault="00024FA8" w:rsidP="00F8596B">
      <w:pPr>
        <w:pStyle w:val="ListParagraph"/>
        <w:ind w:left="0"/>
        <w:rPr>
          <w:rFonts w:ascii="Calibri" w:hAnsi="Calibri" w:cs="Arial"/>
          <w:b/>
          <w:bCs/>
        </w:rPr>
      </w:pPr>
      <w:r>
        <w:rPr>
          <w:rFonts w:ascii="Calibri" w:hAnsi="Calibri" w:cs="Arial"/>
          <w:b/>
          <w:bCs/>
        </w:rPr>
        <w:t xml:space="preserve"> </w:t>
      </w:r>
    </w:p>
    <w:p w:rsidR="000E47D7" w:rsidRDefault="000E47D7" w:rsidP="00B411A7">
      <w:r>
        <w:t xml:space="preserve">The National School First Program has produced Aspley Special </w:t>
      </w:r>
      <w:proofErr w:type="gramStart"/>
      <w:r>
        <w:t>School ,</w:t>
      </w:r>
      <w:proofErr w:type="gramEnd"/>
      <w:r>
        <w:t xml:space="preserve"> Brisbane </w:t>
      </w:r>
      <w:proofErr w:type="spellStart"/>
      <w:r>
        <w:t>SHS,Brown's</w:t>
      </w:r>
      <w:proofErr w:type="spellEnd"/>
      <w:r>
        <w:t xml:space="preserve"> Plains SHS ;Nashville SS ; Redcliffe SHS ;in the 13 Queensland Impact award winners for 2009 </w:t>
      </w:r>
    </w:p>
    <w:p w:rsidR="00A46954" w:rsidRDefault="00A46954" w:rsidP="00F8596B">
      <w:pPr>
        <w:pStyle w:val="ListParagraph"/>
        <w:ind w:left="0"/>
      </w:pPr>
    </w:p>
    <w:p w:rsidR="00E57DDB" w:rsidRPr="0004024B" w:rsidRDefault="00E57DDB" w:rsidP="00E57DDB">
      <w:pPr>
        <w:rPr>
          <w:b/>
        </w:rPr>
      </w:pPr>
      <w:r w:rsidRPr="0004024B">
        <w:rPr>
          <w:b/>
        </w:rPr>
        <w:t xml:space="preserve">The </w:t>
      </w:r>
      <w:r w:rsidR="004E6AF9" w:rsidRPr="0004024B">
        <w:rPr>
          <w:b/>
        </w:rPr>
        <w:t>Challenges for</w:t>
      </w:r>
      <w:r w:rsidRPr="0004024B">
        <w:rPr>
          <w:b/>
        </w:rPr>
        <w:t xml:space="preserve"> TSFPB delivery  </w:t>
      </w:r>
      <w:r w:rsidR="001E4F92">
        <w:rPr>
          <w:b/>
        </w:rPr>
        <w:t xml:space="preserve"> of parent partnerships </w:t>
      </w:r>
      <w:r w:rsidRPr="0004024B">
        <w:rPr>
          <w:b/>
        </w:rPr>
        <w:t xml:space="preserve"> </w:t>
      </w:r>
    </w:p>
    <w:p w:rsidR="001E4F92" w:rsidRPr="001E4F92" w:rsidRDefault="001E4F92" w:rsidP="000E47D7">
      <w:pPr>
        <w:autoSpaceDE w:val="0"/>
        <w:autoSpaceDN w:val="0"/>
        <w:adjustRightInd w:val="0"/>
        <w:spacing w:after="0" w:line="240" w:lineRule="auto"/>
        <w:rPr>
          <w:rFonts w:ascii="TimesNewRoman" w:hAnsi="TimesNewRoman" w:cs="TimesNewRoman"/>
          <w:i/>
          <w:sz w:val="23"/>
          <w:szCs w:val="23"/>
        </w:rPr>
      </w:pPr>
      <w:r w:rsidRPr="001E4F92">
        <w:rPr>
          <w:rFonts w:ascii="TimesNewRoman" w:hAnsi="TimesNewRoman" w:cs="TimesNewRoman"/>
          <w:i/>
          <w:sz w:val="23"/>
          <w:szCs w:val="23"/>
        </w:rPr>
        <w:t xml:space="preserve">A history of diminished engagement over time </w:t>
      </w:r>
    </w:p>
    <w:p w:rsidR="000E47D7" w:rsidRPr="0009762E" w:rsidRDefault="000E47D7" w:rsidP="001E4F92">
      <w:pPr>
        <w:pStyle w:val="ListParagraph"/>
        <w:numPr>
          <w:ilvl w:val="0"/>
          <w:numId w:val="14"/>
        </w:numPr>
        <w:autoSpaceDE w:val="0"/>
        <w:autoSpaceDN w:val="0"/>
        <w:adjustRightInd w:val="0"/>
        <w:spacing w:after="0" w:line="240" w:lineRule="auto"/>
      </w:pPr>
      <w:r w:rsidRPr="001E4F92">
        <w:rPr>
          <w:rFonts w:ascii="TimesNewRoman" w:hAnsi="TimesNewRoman" w:cs="TimesNewRoman"/>
          <w:sz w:val="23"/>
          <w:szCs w:val="23"/>
        </w:rPr>
        <w:t>The extent of parental involvement diminishes as the child gets older and is strongly influenced at all ages by the child characteristically taking a very active mediating role.</w:t>
      </w:r>
    </w:p>
    <w:p w:rsidR="000E47D7" w:rsidRDefault="000E47D7" w:rsidP="000E47D7">
      <w:pPr>
        <w:autoSpaceDE w:val="0"/>
        <w:autoSpaceDN w:val="0"/>
        <w:adjustRightInd w:val="0"/>
        <w:spacing w:after="0" w:line="240" w:lineRule="auto"/>
      </w:pPr>
    </w:p>
    <w:p w:rsidR="001E4F92" w:rsidRPr="001E4F92" w:rsidRDefault="001E4F92" w:rsidP="000E47D7">
      <w:pPr>
        <w:autoSpaceDE w:val="0"/>
        <w:autoSpaceDN w:val="0"/>
        <w:adjustRightInd w:val="0"/>
        <w:spacing w:after="0" w:line="240" w:lineRule="auto"/>
        <w:rPr>
          <w:i/>
        </w:rPr>
      </w:pPr>
      <w:r w:rsidRPr="001E4F92">
        <w:rPr>
          <w:i/>
        </w:rPr>
        <w:t xml:space="preserve">Dominance of education supply side offers of engagement coupled with a perceived weak demand from parents as we move into the 12-24 age </w:t>
      </w:r>
      <w:r w:rsidR="004E6AF9" w:rsidRPr="001E4F92">
        <w:rPr>
          <w:i/>
        </w:rPr>
        <w:t>brackets</w:t>
      </w:r>
      <w:r w:rsidRPr="001E4F92">
        <w:rPr>
          <w:i/>
        </w:rPr>
        <w:t xml:space="preserve"> </w:t>
      </w:r>
    </w:p>
    <w:p w:rsidR="001E4F92" w:rsidRDefault="000E47D7" w:rsidP="001E4F92">
      <w:pPr>
        <w:pStyle w:val="ListParagraph"/>
        <w:numPr>
          <w:ilvl w:val="0"/>
          <w:numId w:val="14"/>
        </w:numPr>
        <w:autoSpaceDE w:val="0"/>
        <w:autoSpaceDN w:val="0"/>
        <w:adjustRightInd w:val="0"/>
        <w:spacing w:after="0" w:line="240" w:lineRule="auto"/>
      </w:pPr>
      <w:r>
        <w:t xml:space="preserve">Some research suggests that there is a continuum of engagement from </w:t>
      </w:r>
      <w:r w:rsidR="004E6AF9" w:rsidRPr="001E4F92">
        <w:rPr>
          <w:u w:val="single"/>
        </w:rPr>
        <w:t>Informing</w:t>
      </w:r>
      <w:r w:rsidR="004E6AF9">
        <w:t xml:space="preserve"> (tell</w:t>
      </w:r>
      <w:r>
        <w:t xml:space="preserve"> parents what the school is </w:t>
      </w:r>
      <w:r w:rsidR="004E6AF9">
        <w:t>doing);</w:t>
      </w:r>
      <w:r w:rsidR="004E6AF9" w:rsidRPr="001E4F92">
        <w:rPr>
          <w:u w:val="single"/>
        </w:rPr>
        <w:t xml:space="preserve"> Involving</w:t>
      </w:r>
      <w:r>
        <w:t xml:space="preserve"> parents in activities that meet teachers </w:t>
      </w:r>
      <w:r w:rsidR="004E6AF9">
        <w:t>needs; Engaging</w:t>
      </w:r>
      <w:r>
        <w:t xml:space="preserve"> parents in shared decision making</w:t>
      </w:r>
      <w:r w:rsidR="001E4F92">
        <w:t>.</w:t>
      </w:r>
      <w:r>
        <w:t xml:space="preserve">  Students Parents ,Staff use their complementary capabilities to</w:t>
      </w:r>
      <w:r w:rsidRPr="001E4F92">
        <w:rPr>
          <w:u w:val="single"/>
        </w:rPr>
        <w:t xml:space="preserve"> </w:t>
      </w:r>
      <w:r w:rsidR="001E4F92" w:rsidRPr="001E4F92">
        <w:rPr>
          <w:u w:val="single"/>
        </w:rPr>
        <w:t>L</w:t>
      </w:r>
      <w:r w:rsidRPr="001E4F92">
        <w:rPr>
          <w:u w:val="single"/>
        </w:rPr>
        <w:t>ead</w:t>
      </w:r>
      <w:r>
        <w:t xml:space="preserve"> programs </w:t>
      </w:r>
    </w:p>
    <w:p w:rsidR="00B411A7" w:rsidRDefault="00B411A7" w:rsidP="001E4F92">
      <w:pPr>
        <w:pStyle w:val="ListParagraph"/>
        <w:numPr>
          <w:ilvl w:val="0"/>
          <w:numId w:val="14"/>
        </w:numPr>
        <w:autoSpaceDE w:val="0"/>
        <w:autoSpaceDN w:val="0"/>
        <w:adjustRightInd w:val="0"/>
        <w:spacing w:after="0" w:line="240" w:lineRule="auto"/>
      </w:pPr>
      <w:r>
        <w:t>The</w:t>
      </w:r>
    </w:p>
    <w:p w:rsidR="00B411A7" w:rsidRDefault="00B411A7" w:rsidP="00B411A7">
      <w:pPr>
        <w:autoSpaceDE w:val="0"/>
        <w:autoSpaceDN w:val="0"/>
        <w:adjustRightInd w:val="0"/>
        <w:spacing w:after="0" w:line="240" w:lineRule="auto"/>
      </w:pPr>
    </w:p>
    <w:p w:rsidR="00B411A7" w:rsidRPr="00B411A7" w:rsidRDefault="00B411A7" w:rsidP="00B411A7">
      <w:pPr>
        <w:autoSpaceDE w:val="0"/>
        <w:autoSpaceDN w:val="0"/>
        <w:adjustRightInd w:val="0"/>
        <w:spacing w:after="0" w:line="240" w:lineRule="auto"/>
        <w:rPr>
          <w:i/>
        </w:rPr>
      </w:pPr>
      <w:r w:rsidRPr="00B411A7">
        <w:rPr>
          <w:i/>
        </w:rPr>
        <w:t xml:space="preserve">Lack of evidence on school/parent partnerships in the Australian context </w:t>
      </w:r>
    </w:p>
    <w:p w:rsidR="00B411A7" w:rsidRDefault="00B411A7" w:rsidP="00B411A7">
      <w:pPr>
        <w:pStyle w:val="ListParagraph"/>
        <w:numPr>
          <w:ilvl w:val="0"/>
          <w:numId w:val="14"/>
        </w:numPr>
      </w:pPr>
      <w:r>
        <w:t xml:space="preserve">The early adopters  /mavens of school /parent engagement practice at both the  continuum is limited </w:t>
      </w:r>
    </w:p>
    <w:p w:rsidR="00B411A7" w:rsidRDefault="00B411A7" w:rsidP="00B411A7">
      <w:pPr>
        <w:pStyle w:val="ListParagraph"/>
        <w:numPr>
          <w:ilvl w:val="0"/>
          <w:numId w:val="14"/>
        </w:numPr>
      </w:pPr>
      <w:r>
        <w:t xml:space="preserve">It has been suggested  that  in a number of schools the existing legislative base and current activities supports the lower end of that practice continuum </w:t>
      </w:r>
    </w:p>
    <w:p w:rsidR="00B411A7" w:rsidRDefault="00B411A7" w:rsidP="00B411A7">
      <w:pPr>
        <w:pStyle w:val="ListParagraph"/>
        <w:numPr>
          <w:ilvl w:val="0"/>
          <w:numId w:val="14"/>
        </w:numPr>
      </w:pPr>
      <w:r>
        <w:t xml:space="preserve">There is little empirical evidence that indicates </w:t>
      </w:r>
    </w:p>
    <w:p w:rsidR="00B411A7" w:rsidRDefault="00B411A7" w:rsidP="00B411A7">
      <w:pPr>
        <w:pStyle w:val="ListParagraph"/>
        <w:numPr>
          <w:ilvl w:val="1"/>
          <w:numId w:val="14"/>
        </w:numPr>
      </w:pPr>
      <w:r>
        <w:t>The power relationships between parents and school/educational institutions</w:t>
      </w:r>
    </w:p>
    <w:p w:rsidR="00B411A7" w:rsidRDefault="00B411A7" w:rsidP="00B411A7">
      <w:pPr>
        <w:pStyle w:val="ListParagraph"/>
        <w:numPr>
          <w:ilvl w:val="1"/>
          <w:numId w:val="14"/>
        </w:numPr>
      </w:pPr>
      <w:r>
        <w:t xml:space="preserve">The composition of parent groups represents the full spectrum of parents within the school community </w:t>
      </w:r>
    </w:p>
    <w:p w:rsidR="00B411A7" w:rsidRDefault="00B411A7" w:rsidP="00B411A7">
      <w:pPr>
        <w:pStyle w:val="ListParagraph"/>
        <w:numPr>
          <w:ilvl w:val="0"/>
          <w:numId w:val="6"/>
        </w:numPr>
      </w:pPr>
      <w:r>
        <w:t xml:space="preserve">The participation rates of members in the formal business of the official  representative structures </w:t>
      </w:r>
    </w:p>
    <w:p w:rsidR="00B411A7" w:rsidRDefault="00B411A7" w:rsidP="00B411A7">
      <w:pPr>
        <w:pStyle w:val="ListParagraph"/>
        <w:numPr>
          <w:ilvl w:val="0"/>
          <w:numId w:val="6"/>
        </w:numPr>
      </w:pPr>
      <w:r>
        <w:t xml:space="preserve">There is little public domain information about  the quality of current partnerships or the partnerships </w:t>
      </w:r>
    </w:p>
    <w:p w:rsidR="00B411A7" w:rsidRDefault="00B411A7" w:rsidP="00B411A7">
      <w:pPr>
        <w:pStyle w:val="ListParagraph"/>
        <w:numPr>
          <w:ilvl w:val="0"/>
          <w:numId w:val="6"/>
        </w:numPr>
        <w:autoSpaceDE w:val="0"/>
        <w:autoSpaceDN w:val="0"/>
        <w:adjustRightInd w:val="0"/>
        <w:spacing w:after="0" w:line="240" w:lineRule="auto"/>
      </w:pPr>
      <w:r>
        <w:t xml:space="preserve">The Functions of school parent representative structures are restricted to advice </w:t>
      </w:r>
      <w:r w:rsidR="004E6AF9">
        <w:t>giving, fostering</w:t>
      </w:r>
      <w:r>
        <w:t xml:space="preserve"> community interest in educational </w:t>
      </w:r>
      <w:r w:rsidR="004E6AF9">
        <w:t>matters, resource</w:t>
      </w:r>
      <w:r>
        <w:t xml:space="preserve"> </w:t>
      </w:r>
      <w:r w:rsidR="004E6AF9">
        <w:t xml:space="preserve">acquisition. </w:t>
      </w:r>
      <w:r>
        <w:t xml:space="preserve">These bodies may not </w:t>
      </w:r>
      <w:r w:rsidRPr="004A060A">
        <w:rPr>
          <w:rFonts w:ascii="Times-Roman" w:hAnsi="Times-Roman" w:cs="Times-Roman"/>
          <w:sz w:val="24"/>
          <w:szCs w:val="24"/>
        </w:rPr>
        <w:t>a) interfere with the management by the school’s principal of the day-to-day operations of the school and its curriculum;</w:t>
      </w:r>
      <w:r>
        <w:t xml:space="preserve"> </w:t>
      </w:r>
    </w:p>
    <w:p w:rsidR="00B411A7" w:rsidRDefault="00B411A7" w:rsidP="00B411A7">
      <w:pPr>
        <w:pStyle w:val="ListParagraph"/>
        <w:numPr>
          <w:ilvl w:val="0"/>
          <w:numId w:val="6"/>
        </w:numPr>
      </w:pPr>
    </w:p>
    <w:p w:rsidR="00B411A7" w:rsidRDefault="00B411A7" w:rsidP="00B411A7">
      <w:pPr>
        <w:pStyle w:val="ListParagraph"/>
        <w:numPr>
          <w:ilvl w:val="1"/>
          <w:numId w:val="14"/>
        </w:numPr>
      </w:pPr>
    </w:p>
    <w:p w:rsidR="001E4F92" w:rsidRDefault="00B411A7" w:rsidP="001E4F92">
      <w:pPr>
        <w:pStyle w:val="ListParagraph"/>
        <w:numPr>
          <w:ilvl w:val="0"/>
          <w:numId w:val="3"/>
        </w:numPr>
        <w:autoSpaceDE w:val="0"/>
        <w:autoSpaceDN w:val="0"/>
        <w:adjustRightInd w:val="0"/>
        <w:spacing w:after="0" w:line="240" w:lineRule="auto"/>
      </w:pPr>
      <w:r>
        <w:t xml:space="preserve"> </w:t>
      </w:r>
    </w:p>
    <w:p w:rsidR="009E5462" w:rsidRDefault="009E5462" w:rsidP="009E5462">
      <w:pPr>
        <w:pStyle w:val="Heading3"/>
      </w:pPr>
      <w:r>
        <w:t xml:space="preserve">Challenges to peak body representative models </w:t>
      </w:r>
    </w:p>
    <w:p w:rsidR="009E5462" w:rsidRDefault="009E5462" w:rsidP="009E5462">
      <w:r>
        <w:t xml:space="preserve">National State, </w:t>
      </w:r>
      <w:r w:rsidR="004E6AF9">
        <w:t>Regional and</w:t>
      </w:r>
      <w:r>
        <w:t xml:space="preserve"> school community representative </w:t>
      </w:r>
      <w:r w:rsidR="004E6AF9">
        <w:t>groups increasingly</w:t>
      </w:r>
      <w:r>
        <w:t xml:space="preserve"> acknowledge their perceived lack of representation and relevance to an increasingly diverse and articulate parent body.</w:t>
      </w:r>
    </w:p>
    <w:p w:rsidR="00E57DDB" w:rsidRDefault="00E57DDB" w:rsidP="00E57DDB"/>
    <w:p w:rsidR="00D6536B" w:rsidRDefault="00D6536B" w:rsidP="00D6536B"/>
    <w:p w:rsidR="00D6536B" w:rsidRDefault="00D6536B" w:rsidP="00D6536B">
      <w:r>
        <w:br w:type="page"/>
      </w:r>
    </w:p>
    <w:p w:rsidR="00D6536B" w:rsidRDefault="00D6536B" w:rsidP="00D6536B"/>
    <w:p w:rsidR="00D6536B" w:rsidRDefault="00D6536B" w:rsidP="00D6536B">
      <w:pPr>
        <w:rPr>
          <w:noProof/>
        </w:rPr>
      </w:pPr>
      <w:r>
        <w:rPr>
          <w:noProof/>
        </w:rPr>
        <w:t xml:space="preserve">Appendix 1 </w:t>
      </w:r>
    </w:p>
    <w:p w:rsidR="00D6536B" w:rsidRPr="000D7F88" w:rsidRDefault="00D6536B" w:rsidP="00D6536B">
      <w:r w:rsidRPr="000D7F88">
        <w:t xml:space="preserve">The Harvard Family Research </w:t>
      </w:r>
      <w:r w:rsidR="004E6AF9" w:rsidRPr="000D7F88">
        <w:t>project,</w:t>
      </w:r>
      <w:r w:rsidRPr="000D7F88">
        <w:t xml:space="preserve"> http://www.hfrp.org/,</w:t>
      </w:r>
    </w:p>
    <w:p w:rsidR="00D6536B" w:rsidRPr="000D7F88" w:rsidRDefault="00D6536B" w:rsidP="00D6536B">
      <w:pPr>
        <w:rPr>
          <w:rFonts w:ascii="TimesNewRoman,Bold" w:hAnsi="TimesNewRoman,Bold" w:cs="TimesNewRoman,Bold"/>
          <w:b/>
          <w:bCs/>
        </w:rPr>
      </w:pPr>
      <w:r w:rsidRPr="000D7F88">
        <w:rPr>
          <w:rFonts w:ascii="TimesNewRoman,Bold" w:hAnsi="TimesNewRoman,Bold" w:cs="TimesNewRoman,Bold"/>
          <w:b/>
          <w:bCs/>
        </w:rPr>
        <w:t>THE IMPACT OF PARENTAL INVOLVEMENT,</w:t>
      </w:r>
      <w:r>
        <w:rPr>
          <w:rFonts w:ascii="TimesNewRoman,Bold" w:hAnsi="TimesNewRoman,Bold" w:cs="TimesNewRoman,Bold"/>
          <w:b/>
          <w:bCs/>
        </w:rPr>
        <w:t xml:space="preserve"> </w:t>
      </w:r>
      <w:r w:rsidRPr="000D7F88">
        <w:rPr>
          <w:rFonts w:ascii="TimesNewRoman,Bold" w:hAnsi="TimesNewRoman,Bold" w:cs="TimesNewRoman,Bold"/>
          <w:b/>
          <w:bCs/>
        </w:rPr>
        <w:t>PARENTAL SUPPORT AND FAMILY EDUCATION ON</w:t>
      </w:r>
      <w:r>
        <w:rPr>
          <w:rFonts w:ascii="TimesNewRoman,Bold" w:hAnsi="TimesNewRoman,Bold" w:cs="TimesNewRoman,Bold"/>
          <w:b/>
          <w:bCs/>
        </w:rPr>
        <w:t xml:space="preserve"> </w:t>
      </w:r>
      <w:r w:rsidRPr="000D7F88">
        <w:rPr>
          <w:rFonts w:ascii="TimesNewRoman,Bold" w:hAnsi="TimesNewRoman,Bold" w:cs="TimesNewRoman,Bold"/>
          <w:b/>
          <w:bCs/>
        </w:rPr>
        <w:t>PUPIL ACHIEVEMENT AND ADJUSTMENT:</w:t>
      </w:r>
    </w:p>
    <w:p w:rsidR="00D6536B" w:rsidRPr="000D7F88" w:rsidRDefault="00D6536B" w:rsidP="00D6536B">
      <w:pPr>
        <w:rPr>
          <w:rFonts w:ascii="TimesNewRoman,BoldItalic" w:hAnsi="TimesNewRoman,BoldItalic" w:cs="TimesNewRoman,BoldItalic"/>
          <w:b/>
          <w:bCs/>
          <w:i/>
          <w:iCs/>
        </w:rPr>
      </w:pPr>
      <w:r w:rsidRPr="000D7F88">
        <w:rPr>
          <w:rFonts w:ascii="TimesNewRoman,Bold" w:hAnsi="TimesNewRoman,Bold" w:cs="TimesNewRoman,Bold"/>
          <w:b/>
          <w:bCs/>
        </w:rPr>
        <w:t xml:space="preserve">A LITERATURE REVIEW </w:t>
      </w:r>
      <w:r w:rsidRPr="000D7F88">
        <w:rPr>
          <w:rFonts w:ascii="TimesNewRoman,BoldItalic" w:hAnsi="TimesNewRoman,BoldItalic" w:cs="TimesNewRoman,BoldItalic"/>
          <w:b/>
          <w:bCs/>
          <w:i/>
          <w:iCs/>
        </w:rPr>
        <w:t xml:space="preserve">Professor Charles </w:t>
      </w:r>
      <w:r w:rsidR="004E6AF9" w:rsidRPr="000D7F88">
        <w:rPr>
          <w:rFonts w:ascii="TimesNewRoman,BoldItalic" w:hAnsi="TimesNewRoman,BoldItalic" w:cs="TimesNewRoman,BoldItalic"/>
          <w:b/>
          <w:bCs/>
          <w:i/>
          <w:iCs/>
        </w:rPr>
        <w:t>Disgorges</w:t>
      </w:r>
    </w:p>
    <w:p w:rsidR="00D6536B" w:rsidRPr="000D7F88" w:rsidRDefault="00D6536B" w:rsidP="00D6536B">
      <w:pPr>
        <w:rPr>
          <w:rFonts w:ascii="TimesNewRoman,BoldItalic" w:hAnsi="TimesNewRoman,BoldItalic" w:cs="TimesNewRoman,BoldItalic"/>
          <w:b/>
          <w:bCs/>
          <w:i/>
          <w:iCs/>
        </w:rPr>
      </w:pPr>
      <w:r w:rsidRPr="000D7F88">
        <w:rPr>
          <w:rFonts w:ascii="TimesNewRoman,BoldItalic" w:hAnsi="TimesNewRoman,BoldItalic" w:cs="TimesNewRoman,BoldItalic"/>
          <w:b/>
          <w:bCs/>
          <w:i/>
          <w:iCs/>
        </w:rPr>
        <w:t>With Alberto Abouchaar 2003</w:t>
      </w:r>
    </w:p>
    <w:p w:rsidR="00D6536B" w:rsidRPr="000D7F88" w:rsidRDefault="00D6536B" w:rsidP="00D6536B">
      <w:pPr>
        <w:rPr>
          <w:rFonts w:ascii="TimesNewRoman,BoldItalic" w:hAnsi="TimesNewRoman,BoldItalic" w:cs="TimesNewRoman,BoldItalic"/>
          <w:b/>
          <w:bCs/>
          <w:i/>
          <w:iCs/>
        </w:rPr>
      </w:pPr>
    </w:p>
    <w:p w:rsidR="00D6536B" w:rsidRPr="000D7F88" w:rsidRDefault="004E6AF9" w:rsidP="00D6536B">
      <w:pPr>
        <w:rPr>
          <w:rFonts w:ascii="NewsGothicStd" w:hAnsi="NewsGothicStd" w:cs="NewsGothicStd"/>
        </w:rPr>
      </w:pPr>
      <w:r w:rsidRPr="000D7F88">
        <w:rPr>
          <w:rFonts w:ascii="NewsGothicStd" w:hAnsi="NewsGothicStd" w:cs="NewsGothicStd"/>
        </w:rPr>
        <w:t>Home-to-school transitions for financially</w:t>
      </w:r>
      <w:r>
        <w:rPr>
          <w:rFonts w:ascii="NewsGothicStd" w:hAnsi="NewsGothicStd" w:cs="NewsGothicStd"/>
        </w:rPr>
        <w:t xml:space="preserve"> </w:t>
      </w:r>
      <w:r w:rsidRPr="000D7F88">
        <w:rPr>
          <w:rFonts w:ascii="NewsGothicStd" w:hAnsi="NewsGothicStd" w:cs="NewsGothicStd"/>
        </w:rPr>
        <w:t>disadvantaged children</w:t>
      </w:r>
    </w:p>
    <w:p w:rsidR="00D6536B" w:rsidRPr="000D7F88" w:rsidRDefault="00D6536B" w:rsidP="00D6536B">
      <w:pPr>
        <w:rPr>
          <w:rFonts w:ascii="NewsGothicStd" w:hAnsi="NewsGothicStd" w:cs="NewsGothicStd"/>
        </w:rPr>
      </w:pPr>
      <w:r w:rsidRPr="000D7F88">
        <w:rPr>
          <w:rFonts w:ascii="NewsGothicStd" w:hAnsi="NewsGothicStd" w:cs="NewsGothicStd"/>
        </w:rPr>
        <w:t>Diana Smart, Ann Sanson, Jennifer Baxter, Ben Edwards and Alan Hayes</w:t>
      </w:r>
    </w:p>
    <w:p w:rsidR="00D6536B" w:rsidRPr="000D7F88" w:rsidRDefault="00D6536B" w:rsidP="00D6536B">
      <w:pPr>
        <w:rPr>
          <w:rFonts w:ascii="TimesNewRoman,BoldItalic" w:hAnsi="TimesNewRoman,BoldItalic" w:cs="TimesNewRoman,BoldItalic"/>
          <w:b/>
          <w:bCs/>
          <w:i/>
          <w:iCs/>
        </w:rPr>
      </w:pPr>
      <w:r w:rsidRPr="000D7F88">
        <w:rPr>
          <w:rFonts w:ascii="NewsGothicStd" w:hAnsi="NewsGothicStd" w:cs="NewsGothicStd"/>
        </w:rPr>
        <w:t xml:space="preserve"> </w:t>
      </w:r>
      <w:hyperlink r:id="rId5" w:history="1">
        <w:r w:rsidRPr="000D7F88">
          <w:rPr>
            <w:rStyle w:val="Hyperlink"/>
            <w:rFonts w:ascii="NewsGothicStd" w:hAnsi="NewsGothicStd" w:cs="NewsGothicStd"/>
            <w:sz w:val="24"/>
            <w:szCs w:val="24"/>
          </w:rPr>
          <w:t>www.thesmithfamily.com.au</w:t>
        </w:r>
      </w:hyperlink>
      <w:r w:rsidRPr="000D7F88">
        <w:rPr>
          <w:rFonts w:ascii="NewsGothicStd" w:hAnsi="NewsGothicStd" w:cs="NewsGothicStd"/>
        </w:rPr>
        <w:t xml:space="preserve"> Copyright © 2008 The Smith Family</w:t>
      </w:r>
    </w:p>
    <w:p w:rsidR="00D6536B" w:rsidRPr="000D7F88" w:rsidRDefault="00D6536B" w:rsidP="00D6536B">
      <w:pPr>
        <w:rPr>
          <w:rFonts w:cs="Arial"/>
        </w:rPr>
      </w:pPr>
      <w:r w:rsidRPr="000D7F88">
        <w:rPr>
          <w:rFonts w:cs="Arial"/>
        </w:rPr>
        <w:t xml:space="preserve"> </w:t>
      </w:r>
    </w:p>
    <w:p w:rsidR="00D6536B" w:rsidRPr="000D7F88" w:rsidRDefault="00D6536B" w:rsidP="00D6536B">
      <w:pPr>
        <w:rPr>
          <w:rFonts w:ascii="TimesNewRomanPS-BoldMT" w:hAnsi="TimesNewRomanPS-BoldMT" w:cs="TimesNewRomanPS-BoldMT"/>
          <w:b/>
          <w:bCs/>
        </w:rPr>
      </w:pPr>
      <w:r w:rsidRPr="000D7F88">
        <w:rPr>
          <w:rFonts w:ascii="TimesNewRomanPS-BoldMT" w:hAnsi="TimesNewRomanPS-BoldMT" w:cs="TimesNewRomanPS-BoldMT"/>
          <w:b/>
          <w:bCs/>
        </w:rPr>
        <w:t>At risk adolescents: their perception of parenting styles</w:t>
      </w:r>
    </w:p>
    <w:p w:rsidR="00D6536B" w:rsidRPr="000D7F88" w:rsidRDefault="00D6536B" w:rsidP="00D6536B">
      <w:pPr>
        <w:rPr>
          <w:rFonts w:ascii="Times New Roman" w:hAnsi="Times New Roman"/>
        </w:rPr>
      </w:pPr>
      <w:r w:rsidRPr="000D7F88">
        <w:rPr>
          <w:rFonts w:ascii="Times New Roman" w:hAnsi="Times New Roman"/>
        </w:rPr>
        <w:t>Helen J Boon James Cook University</w:t>
      </w:r>
    </w:p>
    <w:p w:rsidR="00D6536B" w:rsidRPr="000D7F88" w:rsidRDefault="00D6536B" w:rsidP="00D6536B">
      <w:r w:rsidRPr="000D7F88">
        <w:t xml:space="preserve">PROFESSIONALS AND PARENTS: A SOCIAL MOVEMENT FOR EDUCATIONAL CHANGE Andy Hargreaves </w:t>
      </w:r>
    </w:p>
    <w:p w:rsidR="00D6536B" w:rsidRDefault="00D6536B" w:rsidP="00D6536B">
      <w:pPr>
        <w:rPr>
          <w:noProof/>
        </w:rPr>
      </w:pPr>
    </w:p>
    <w:p w:rsidR="00D6536B" w:rsidRDefault="00D6536B" w:rsidP="00D6536B">
      <w:r>
        <w:rPr>
          <w:noProof/>
        </w:rPr>
        <w:drawing>
          <wp:inline distT="0" distB="0" distL="0" distR="0">
            <wp:extent cx="5731510" cy="3958820"/>
            <wp:effectExtent l="19050" t="0" r="0" b="0"/>
            <wp:docPr id="8"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6" cstate="print"/>
                    <a:srcRect/>
                    <a:stretch>
                      <a:fillRect/>
                    </a:stretch>
                  </pic:blipFill>
                  <pic:spPr bwMode="auto">
                    <a:xfrm>
                      <a:off x="0" y="0"/>
                      <a:ext cx="5731510" cy="3958820"/>
                    </a:xfrm>
                    <a:prstGeom prst="rect">
                      <a:avLst/>
                    </a:prstGeom>
                    <a:noFill/>
                    <a:ln w="9525">
                      <a:noFill/>
                      <a:miter lim="800000"/>
                      <a:headEnd/>
                      <a:tailEnd/>
                    </a:ln>
                  </pic:spPr>
                </pic:pic>
              </a:graphicData>
            </a:graphic>
          </wp:inline>
        </w:drawing>
      </w:r>
    </w:p>
    <w:p w:rsidR="00D6536B" w:rsidRDefault="00D6536B" w:rsidP="00D6536B"/>
    <w:p w:rsidR="00D6536B" w:rsidRDefault="00D6536B" w:rsidP="00D6536B"/>
    <w:p w:rsidR="00D6536B" w:rsidRDefault="00D6536B" w:rsidP="00D6536B">
      <w:r>
        <w:t xml:space="preserve">APPENDIX 2 </w:t>
      </w:r>
    </w:p>
    <w:p w:rsidR="00D6536B" w:rsidRDefault="00D6536B" w:rsidP="00D6536B">
      <w:pPr>
        <w:rPr>
          <w:rFonts w:ascii="Futura LT Book" w:hAnsi="Futura LT Book" w:cs="Futura LT Book"/>
        </w:rPr>
      </w:pPr>
      <w:r>
        <w:rPr>
          <w:rStyle w:val="A0"/>
          <w:rFonts w:cstheme="minorBidi"/>
          <w:b w:val="0"/>
          <w:bCs w:val="0"/>
        </w:rPr>
        <w:t xml:space="preserve">FAMILY - SCHOOL PARTNERSHIPS </w:t>
      </w:r>
      <w:r>
        <w:rPr>
          <w:rStyle w:val="A0"/>
          <w:rFonts w:ascii="Futura LT Book" w:hAnsi="Futura LT Book" w:cs="Futura LT Book"/>
        </w:rPr>
        <w:t>FRAMEWORK</w:t>
      </w:r>
    </w:p>
    <w:p w:rsidR="00D6536B" w:rsidRDefault="00D6536B" w:rsidP="00D6536B">
      <w:pPr>
        <w:rPr>
          <w:rFonts w:cs="Futura LT Medium"/>
          <w:sz w:val="36"/>
          <w:szCs w:val="36"/>
        </w:rPr>
      </w:pPr>
      <w:r>
        <w:rPr>
          <w:rFonts w:cs="Futura LT Medium"/>
          <w:sz w:val="36"/>
          <w:szCs w:val="36"/>
        </w:rPr>
        <w:t>A guide for schools and families</w:t>
      </w:r>
    </w:p>
    <w:p w:rsidR="00D6536B" w:rsidRDefault="00D6536B" w:rsidP="00D6536B">
      <w:pPr>
        <w:rPr>
          <w:rFonts w:cs="Futura LT Medium"/>
          <w:sz w:val="36"/>
          <w:szCs w:val="36"/>
        </w:rPr>
      </w:pPr>
      <w:r>
        <w:rPr>
          <w:rFonts w:cs="Futura LT Medium"/>
          <w:sz w:val="36"/>
          <w:szCs w:val="36"/>
        </w:rPr>
        <w:t>Key Dimensions of Family-School Partnerships</w:t>
      </w:r>
    </w:p>
    <w:p w:rsidR="00D6536B" w:rsidRDefault="00D6536B" w:rsidP="00D6536B">
      <w:pPr>
        <w:rPr>
          <w:rFonts w:ascii="Univers LT 55" w:hAnsi="Univers LT 55" w:cs="Univers LT 55"/>
        </w:rPr>
      </w:pPr>
      <w:r>
        <w:rPr>
          <w:rFonts w:ascii="Univers LT 55" w:hAnsi="Univers LT 55" w:cs="Univers LT 55"/>
        </w:rPr>
        <w:t xml:space="preserve"> </w:t>
      </w:r>
    </w:p>
    <w:p w:rsidR="00D6536B" w:rsidRDefault="00D6536B" w:rsidP="00D6536B">
      <w:pPr>
        <w:autoSpaceDE w:val="0"/>
        <w:autoSpaceDN w:val="0"/>
        <w:adjustRightInd w:val="0"/>
        <w:spacing w:after="0" w:line="240" w:lineRule="auto"/>
        <w:rPr>
          <w:rFonts w:ascii="Garamond" w:hAnsi="Garamond" w:cs="Garamond"/>
          <w:sz w:val="40"/>
          <w:szCs w:val="40"/>
        </w:rPr>
      </w:pPr>
      <w:r>
        <w:rPr>
          <w:rFonts w:ascii="Garamond" w:hAnsi="Garamond" w:cs="Garamond"/>
          <w:sz w:val="40"/>
          <w:szCs w:val="40"/>
        </w:rPr>
        <w:t>Building capability in vocational education</w:t>
      </w:r>
    </w:p>
    <w:p w:rsidR="00D6536B" w:rsidRDefault="00D6536B" w:rsidP="00D6536B">
      <w:pPr>
        <w:autoSpaceDE w:val="0"/>
        <w:autoSpaceDN w:val="0"/>
        <w:adjustRightInd w:val="0"/>
        <w:spacing w:after="0" w:line="240" w:lineRule="auto"/>
        <w:rPr>
          <w:rFonts w:ascii="Garamond" w:hAnsi="Garamond" w:cs="Garamond"/>
          <w:sz w:val="40"/>
          <w:szCs w:val="40"/>
        </w:rPr>
      </w:pPr>
      <w:proofErr w:type="gramStart"/>
      <w:r>
        <w:rPr>
          <w:rFonts w:ascii="Garamond" w:hAnsi="Garamond" w:cs="Garamond"/>
          <w:sz w:val="40"/>
          <w:szCs w:val="40"/>
        </w:rPr>
        <w:t>and</w:t>
      </w:r>
      <w:proofErr w:type="gramEnd"/>
      <w:r>
        <w:rPr>
          <w:rFonts w:ascii="Garamond" w:hAnsi="Garamond" w:cs="Garamond"/>
          <w:sz w:val="40"/>
          <w:szCs w:val="40"/>
        </w:rPr>
        <w:t xml:space="preserve"> training providers: The TAFE cut</w:t>
      </w:r>
    </w:p>
    <w:p w:rsidR="00D6536B" w:rsidRDefault="00D6536B" w:rsidP="00D6536B">
      <w:pPr>
        <w:autoSpaceDE w:val="0"/>
        <w:autoSpaceDN w:val="0"/>
        <w:adjustRightInd w:val="0"/>
        <w:spacing w:after="0" w:line="240" w:lineRule="auto"/>
        <w:rPr>
          <w:rFonts w:ascii="Garamond" w:hAnsi="Garamond" w:cs="Garamond"/>
        </w:rPr>
      </w:pPr>
      <w:r>
        <w:rPr>
          <w:rFonts w:ascii="Garamond" w:hAnsi="Garamond" w:cs="Garamond"/>
        </w:rPr>
        <w:t>HUGH GUTHRIE</w:t>
      </w:r>
    </w:p>
    <w:p w:rsidR="00D6536B" w:rsidRDefault="00D6536B" w:rsidP="00D6536B">
      <w:pPr>
        <w:autoSpaceDE w:val="0"/>
        <w:autoSpaceDN w:val="0"/>
        <w:adjustRightInd w:val="0"/>
        <w:spacing w:after="0" w:line="240" w:lineRule="auto"/>
        <w:rPr>
          <w:rFonts w:ascii="Garamond" w:hAnsi="Garamond" w:cs="Garamond"/>
        </w:rPr>
      </w:pPr>
      <w:r>
        <w:rPr>
          <w:rFonts w:ascii="Garamond" w:hAnsi="Garamond" w:cs="Garamond"/>
        </w:rPr>
        <w:t>NCVER</w:t>
      </w:r>
    </w:p>
    <w:p w:rsidR="00D6536B" w:rsidRDefault="00D6536B" w:rsidP="00D6536B">
      <w:pPr>
        <w:autoSpaceDE w:val="0"/>
        <w:autoSpaceDN w:val="0"/>
        <w:adjustRightInd w:val="0"/>
        <w:spacing w:after="0" w:line="240" w:lineRule="auto"/>
        <w:rPr>
          <w:rFonts w:ascii="Garamond" w:hAnsi="Garamond" w:cs="Garamond"/>
        </w:rPr>
      </w:pPr>
      <w:r>
        <w:rPr>
          <w:rFonts w:ascii="Garamond" w:hAnsi="Garamond" w:cs="Garamond"/>
        </w:rPr>
        <w:t>BERWYN CLAYTON</w:t>
      </w:r>
    </w:p>
    <w:p w:rsidR="00D6536B" w:rsidRDefault="00D6536B" w:rsidP="00D6536B">
      <w:pPr>
        <w:autoSpaceDE w:val="0"/>
        <w:autoSpaceDN w:val="0"/>
        <w:adjustRightInd w:val="0"/>
        <w:spacing w:after="0" w:line="240" w:lineRule="auto"/>
        <w:rPr>
          <w:rFonts w:ascii="Garamond" w:hAnsi="Garamond" w:cs="Garamond"/>
          <w:sz w:val="18"/>
          <w:szCs w:val="18"/>
        </w:rPr>
      </w:pPr>
      <w:r>
        <w:rPr>
          <w:rFonts w:ascii="Garamond" w:hAnsi="Garamond" w:cs="Garamond"/>
        </w:rPr>
        <w:t>V</w:t>
      </w:r>
      <w:r>
        <w:rPr>
          <w:rFonts w:ascii="Garamond" w:hAnsi="Garamond" w:cs="Garamond"/>
          <w:sz w:val="18"/>
          <w:szCs w:val="18"/>
        </w:rPr>
        <w:t xml:space="preserve">ICTORIA </w:t>
      </w:r>
      <w:r>
        <w:rPr>
          <w:rFonts w:ascii="Garamond" w:hAnsi="Garamond" w:cs="Garamond"/>
        </w:rPr>
        <w:t>U</w:t>
      </w:r>
      <w:r>
        <w:rPr>
          <w:rFonts w:ascii="Garamond" w:hAnsi="Garamond" w:cs="Garamond"/>
          <w:sz w:val="18"/>
          <w:szCs w:val="18"/>
        </w:rPr>
        <w:t>NIVERSITY</w:t>
      </w:r>
    </w:p>
    <w:p w:rsidR="00D6536B" w:rsidRDefault="00D6536B" w:rsidP="00D6536B">
      <w:pPr>
        <w:autoSpaceDE w:val="0"/>
        <w:autoSpaceDN w:val="0"/>
        <w:adjustRightInd w:val="0"/>
        <w:spacing w:after="0" w:line="240" w:lineRule="auto"/>
        <w:rPr>
          <w:rFonts w:ascii="Garamond" w:hAnsi="Garamond" w:cs="Garamond"/>
        </w:rPr>
      </w:pPr>
      <w:r>
        <w:rPr>
          <w:rFonts w:ascii="Garamond" w:hAnsi="Garamond" w:cs="Garamond"/>
          <w:sz w:val="28"/>
          <w:szCs w:val="28"/>
        </w:rPr>
        <w:t>O</w:t>
      </w:r>
      <w:r>
        <w:rPr>
          <w:rFonts w:ascii="Garamond" w:hAnsi="Garamond" w:cs="Garamond"/>
        </w:rPr>
        <w:t>CCASIONAL PAPER</w:t>
      </w:r>
    </w:p>
    <w:p w:rsidR="00D6536B" w:rsidRDefault="00D6536B" w:rsidP="00D6536B">
      <w:pPr>
        <w:autoSpaceDE w:val="0"/>
        <w:autoSpaceDN w:val="0"/>
        <w:adjustRightInd w:val="0"/>
        <w:spacing w:after="0" w:line="240" w:lineRule="auto"/>
        <w:rPr>
          <w:rFonts w:ascii="Garamond" w:hAnsi="Garamond" w:cs="Garamond"/>
          <w:sz w:val="16"/>
          <w:szCs w:val="16"/>
        </w:rPr>
      </w:pPr>
      <w:r>
        <w:rPr>
          <w:rFonts w:ascii="Garamond" w:hAnsi="Garamond" w:cs="Garamond"/>
          <w:sz w:val="16"/>
          <w:szCs w:val="16"/>
        </w:rPr>
        <w:t>The views and opinions expressed in this document are those of the author/project team and do not necessarily</w:t>
      </w:r>
    </w:p>
    <w:p w:rsidR="00D6536B" w:rsidRDefault="00D6536B" w:rsidP="00D6536B">
      <w:pPr>
        <w:autoSpaceDE w:val="0"/>
        <w:autoSpaceDN w:val="0"/>
        <w:adjustRightInd w:val="0"/>
        <w:spacing w:after="0" w:line="240" w:lineRule="auto"/>
        <w:rPr>
          <w:rFonts w:ascii="TrebuchetMS" w:hAnsi="TrebuchetMS" w:cs="TrebuchetMS"/>
          <w:sz w:val="52"/>
          <w:szCs w:val="52"/>
        </w:rPr>
      </w:pPr>
      <w:proofErr w:type="gramStart"/>
      <w:r>
        <w:rPr>
          <w:rFonts w:ascii="Garamond" w:hAnsi="Garamond" w:cs="Garamond"/>
          <w:sz w:val="16"/>
          <w:szCs w:val="16"/>
        </w:rPr>
        <w:t>reflect</w:t>
      </w:r>
      <w:proofErr w:type="gramEnd"/>
      <w:r>
        <w:rPr>
          <w:rFonts w:ascii="Garamond" w:hAnsi="Garamond" w:cs="Garamond"/>
          <w:sz w:val="16"/>
          <w:szCs w:val="16"/>
        </w:rPr>
        <w:t xml:space="preserve"> the views of the Australian Government or state and territory </w:t>
      </w:r>
      <w:proofErr w:type="spellStart"/>
      <w:r>
        <w:rPr>
          <w:rFonts w:ascii="Garamond" w:hAnsi="Garamond" w:cs="Garamond"/>
          <w:sz w:val="16"/>
          <w:szCs w:val="16"/>
        </w:rPr>
        <w:t>governments.</w:t>
      </w:r>
      <w:r>
        <w:rPr>
          <w:rFonts w:ascii="TrebuchetMS" w:hAnsi="TrebuchetMS" w:cs="TrebuchetMS"/>
          <w:sz w:val="52"/>
          <w:szCs w:val="52"/>
        </w:rPr>
        <w:t>Success</w:t>
      </w:r>
      <w:proofErr w:type="spellEnd"/>
      <w:r>
        <w:rPr>
          <w:rFonts w:ascii="TrebuchetMS" w:hAnsi="TrebuchetMS" w:cs="TrebuchetMS"/>
          <w:sz w:val="52"/>
          <w:szCs w:val="52"/>
        </w:rPr>
        <w:t xml:space="preserve"> through partnership</w:t>
      </w:r>
    </w:p>
    <w:p w:rsidR="00D6536B" w:rsidRDefault="00D6536B" w:rsidP="00D6536B">
      <w:pPr>
        <w:autoSpaceDE w:val="0"/>
        <w:autoSpaceDN w:val="0"/>
        <w:adjustRightInd w:val="0"/>
        <w:spacing w:after="0" w:line="240" w:lineRule="auto"/>
        <w:rPr>
          <w:rFonts w:ascii="TrebuchetMS" w:hAnsi="TrebuchetMS" w:cs="TrebuchetMS"/>
          <w:sz w:val="44"/>
          <w:szCs w:val="44"/>
        </w:rPr>
      </w:pPr>
      <w:r>
        <w:rPr>
          <w:rFonts w:ascii="TrebuchetMS" w:hAnsi="TrebuchetMS" w:cs="TrebuchetMS"/>
          <w:sz w:val="44"/>
          <w:szCs w:val="44"/>
        </w:rPr>
        <w:t>Achieving a national vision for ICT in</w:t>
      </w:r>
    </w:p>
    <w:p w:rsidR="00D6536B" w:rsidRDefault="00D6536B" w:rsidP="00D6536B">
      <w:pPr>
        <w:autoSpaceDE w:val="0"/>
        <w:autoSpaceDN w:val="0"/>
        <w:adjustRightInd w:val="0"/>
        <w:spacing w:after="0" w:line="240" w:lineRule="auto"/>
        <w:rPr>
          <w:rFonts w:ascii="TrebuchetMS" w:hAnsi="TrebuchetMS" w:cs="TrebuchetMS"/>
          <w:sz w:val="44"/>
          <w:szCs w:val="44"/>
        </w:rPr>
      </w:pPr>
      <w:proofErr w:type="gramStart"/>
      <w:r>
        <w:rPr>
          <w:rFonts w:ascii="TrebuchetMS" w:hAnsi="TrebuchetMS" w:cs="TrebuchetMS"/>
          <w:sz w:val="44"/>
          <w:szCs w:val="44"/>
        </w:rPr>
        <w:t>schools</w:t>
      </w:r>
      <w:proofErr w:type="gramEnd"/>
    </w:p>
    <w:p w:rsidR="00D6536B" w:rsidRDefault="00D6536B" w:rsidP="00D6536B">
      <w:pPr>
        <w:autoSpaceDE w:val="0"/>
        <w:autoSpaceDN w:val="0"/>
        <w:adjustRightInd w:val="0"/>
        <w:spacing w:after="0" w:line="240" w:lineRule="auto"/>
        <w:rPr>
          <w:rFonts w:ascii="TrebuchetMS" w:hAnsi="TrebuchetMS" w:cs="TrebuchetMS"/>
          <w:sz w:val="44"/>
          <w:szCs w:val="44"/>
        </w:rPr>
      </w:pPr>
      <w:r>
        <w:rPr>
          <w:rFonts w:ascii="TrebuchetMS" w:hAnsi="TrebuchetMS" w:cs="TrebuchetMS"/>
          <w:sz w:val="44"/>
          <w:szCs w:val="44"/>
        </w:rPr>
        <w:t>Strategic Plan to guide the implementation</w:t>
      </w:r>
    </w:p>
    <w:p w:rsidR="00D6536B" w:rsidRDefault="00D6536B" w:rsidP="00D6536B">
      <w:pPr>
        <w:autoSpaceDE w:val="0"/>
        <w:autoSpaceDN w:val="0"/>
        <w:adjustRightInd w:val="0"/>
        <w:spacing w:after="0" w:line="240" w:lineRule="auto"/>
        <w:rPr>
          <w:rFonts w:ascii="TrebuchetMS" w:hAnsi="TrebuchetMS" w:cs="TrebuchetMS"/>
          <w:sz w:val="44"/>
          <w:szCs w:val="44"/>
        </w:rPr>
      </w:pPr>
      <w:proofErr w:type="gramStart"/>
      <w:r>
        <w:rPr>
          <w:rFonts w:ascii="TrebuchetMS" w:hAnsi="TrebuchetMS" w:cs="TrebuchetMS"/>
          <w:sz w:val="44"/>
          <w:szCs w:val="44"/>
        </w:rPr>
        <w:t>of</w:t>
      </w:r>
      <w:proofErr w:type="gramEnd"/>
      <w:r>
        <w:rPr>
          <w:rFonts w:ascii="TrebuchetMS" w:hAnsi="TrebuchetMS" w:cs="TrebuchetMS"/>
          <w:sz w:val="44"/>
          <w:szCs w:val="44"/>
        </w:rPr>
        <w:t xml:space="preserve"> the Digital Education Revolution</w:t>
      </w:r>
    </w:p>
    <w:p w:rsidR="00D6536B" w:rsidRDefault="00D6536B" w:rsidP="00D6536B">
      <w:pPr>
        <w:autoSpaceDE w:val="0"/>
        <w:autoSpaceDN w:val="0"/>
        <w:adjustRightInd w:val="0"/>
        <w:spacing w:after="0" w:line="240" w:lineRule="auto"/>
        <w:rPr>
          <w:rFonts w:ascii="TrebuchetMS" w:hAnsi="TrebuchetMS" w:cs="TrebuchetMS"/>
          <w:sz w:val="44"/>
          <w:szCs w:val="44"/>
        </w:rPr>
      </w:pPr>
      <w:proofErr w:type="gramStart"/>
      <w:r>
        <w:rPr>
          <w:rFonts w:ascii="TrebuchetMS" w:hAnsi="TrebuchetMS" w:cs="TrebuchetMS"/>
          <w:sz w:val="44"/>
          <w:szCs w:val="44"/>
        </w:rPr>
        <w:t>initiative</w:t>
      </w:r>
      <w:proofErr w:type="gramEnd"/>
      <w:r>
        <w:rPr>
          <w:rFonts w:ascii="TrebuchetMS" w:hAnsi="TrebuchetMS" w:cs="TrebuchetMS"/>
          <w:sz w:val="44"/>
          <w:szCs w:val="44"/>
        </w:rPr>
        <w:t xml:space="preserve"> and related initiatives</w:t>
      </w:r>
    </w:p>
    <w:p w:rsidR="00D6536B" w:rsidRDefault="00D6536B" w:rsidP="00D6536B">
      <w:pPr>
        <w:rPr>
          <w:rFonts w:ascii="TrebuchetMS" w:hAnsi="TrebuchetMS" w:cs="TrebuchetMS"/>
          <w:sz w:val="44"/>
          <w:szCs w:val="44"/>
        </w:rPr>
      </w:pPr>
      <w:r>
        <w:rPr>
          <w:rFonts w:ascii="TrebuchetMS" w:hAnsi="TrebuchetMS" w:cs="TrebuchetMS"/>
          <w:sz w:val="44"/>
          <w:szCs w:val="44"/>
        </w:rPr>
        <w:t>5 August 2008</w:t>
      </w:r>
    </w:p>
    <w:p w:rsidR="00D6536B" w:rsidRDefault="00D6536B" w:rsidP="00D6536B">
      <w:pPr>
        <w:autoSpaceDE w:val="0"/>
        <w:autoSpaceDN w:val="0"/>
        <w:adjustRightInd w:val="0"/>
        <w:spacing w:after="0" w:line="240" w:lineRule="auto"/>
        <w:rPr>
          <w:rFonts w:cs="Arial"/>
          <w:b/>
          <w:bCs/>
          <w:i/>
          <w:iCs/>
          <w:sz w:val="36"/>
          <w:szCs w:val="36"/>
        </w:rPr>
      </w:pPr>
      <w:r>
        <w:rPr>
          <w:rFonts w:cs="Arial"/>
          <w:b/>
          <w:bCs/>
          <w:i/>
          <w:iCs/>
          <w:sz w:val="36"/>
          <w:szCs w:val="36"/>
        </w:rPr>
        <w:t>Digital Education Revolution</w:t>
      </w:r>
    </w:p>
    <w:p w:rsidR="00D6536B" w:rsidRDefault="00D6536B" w:rsidP="00D6536B">
      <w:pPr>
        <w:autoSpaceDE w:val="0"/>
        <w:autoSpaceDN w:val="0"/>
        <w:adjustRightInd w:val="0"/>
        <w:spacing w:after="0" w:line="240" w:lineRule="auto"/>
        <w:rPr>
          <w:rFonts w:cs="Arial"/>
          <w:b/>
          <w:bCs/>
          <w:i/>
          <w:iCs/>
          <w:sz w:val="36"/>
          <w:szCs w:val="36"/>
        </w:rPr>
      </w:pPr>
      <w:r>
        <w:rPr>
          <w:rFonts w:cs="Arial"/>
          <w:b/>
          <w:bCs/>
          <w:i/>
          <w:iCs/>
          <w:sz w:val="36"/>
          <w:szCs w:val="36"/>
        </w:rPr>
        <w:t>Implementation Roadmap</w:t>
      </w:r>
    </w:p>
    <w:p w:rsidR="00D6536B" w:rsidRDefault="00D6536B" w:rsidP="00D6536B">
      <w:pPr>
        <w:autoSpaceDE w:val="0"/>
        <w:autoSpaceDN w:val="0"/>
        <w:adjustRightInd w:val="0"/>
        <w:spacing w:after="0" w:line="240" w:lineRule="auto"/>
        <w:rPr>
          <w:rFonts w:cs="Arial"/>
          <w:b/>
          <w:bCs/>
          <w:sz w:val="28"/>
          <w:szCs w:val="28"/>
        </w:rPr>
      </w:pPr>
      <w:r>
        <w:rPr>
          <w:rFonts w:cs="Arial"/>
          <w:b/>
          <w:bCs/>
          <w:sz w:val="28"/>
          <w:szCs w:val="28"/>
        </w:rPr>
        <w:t>Advice to the</w:t>
      </w:r>
    </w:p>
    <w:p w:rsidR="00D6536B" w:rsidRDefault="00D6536B" w:rsidP="00D6536B">
      <w:pPr>
        <w:autoSpaceDE w:val="0"/>
        <w:autoSpaceDN w:val="0"/>
        <w:adjustRightInd w:val="0"/>
        <w:spacing w:after="0" w:line="240" w:lineRule="auto"/>
        <w:rPr>
          <w:rFonts w:cs="Arial"/>
          <w:b/>
          <w:bCs/>
          <w:sz w:val="28"/>
          <w:szCs w:val="28"/>
        </w:rPr>
      </w:pPr>
      <w:r>
        <w:rPr>
          <w:rFonts w:cs="Arial"/>
          <w:b/>
          <w:bCs/>
          <w:sz w:val="28"/>
          <w:szCs w:val="28"/>
        </w:rPr>
        <w:t>Productivity Agenda Working Group</w:t>
      </w:r>
    </w:p>
    <w:p w:rsidR="00D6536B" w:rsidRDefault="00D6536B" w:rsidP="00D6536B">
      <w:pPr>
        <w:autoSpaceDE w:val="0"/>
        <w:autoSpaceDN w:val="0"/>
        <w:adjustRightInd w:val="0"/>
        <w:spacing w:after="0" w:line="240" w:lineRule="auto"/>
        <w:rPr>
          <w:rFonts w:cs="Arial"/>
          <w:b/>
          <w:bCs/>
          <w:sz w:val="28"/>
          <w:szCs w:val="28"/>
        </w:rPr>
      </w:pPr>
      <w:r>
        <w:rPr>
          <w:rFonts w:cs="Arial"/>
          <w:b/>
          <w:bCs/>
          <w:sz w:val="28"/>
          <w:szCs w:val="28"/>
        </w:rPr>
        <w:t>Schooling Sub-group</w:t>
      </w:r>
    </w:p>
    <w:p w:rsidR="00D6536B" w:rsidRDefault="00D6536B" w:rsidP="00D6536B">
      <w:pPr>
        <w:autoSpaceDE w:val="0"/>
        <w:autoSpaceDN w:val="0"/>
        <w:adjustRightInd w:val="0"/>
        <w:spacing w:after="0" w:line="240" w:lineRule="auto"/>
        <w:rPr>
          <w:rFonts w:cs="Arial"/>
          <w:b/>
          <w:bCs/>
          <w:sz w:val="28"/>
          <w:szCs w:val="28"/>
        </w:rPr>
      </w:pPr>
      <w:proofErr w:type="gramStart"/>
      <w:r>
        <w:rPr>
          <w:rFonts w:cs="Arial"/>
          <w:b/>
          <w:bCs/>
          <w:sz w:val="28"/>
          <w:szCs w:val="28"/>
        </w:rPr>
        <w:t>from</w:t>
      </w:r>
      <w:proofErr w:type="gramEnd"/>
      <w:r>
        <w:rPr>
          <w:rFonts w:cs="Arial"/>
          <w:b/>
          <w:bCs/>
          <w:sz w:val="28"/>
          <w:szCs w:val="28"/>
        </w:rPr>
        <w:t xml:space="preserve"> the</w:t>
      </w:r>
    </w:p>
    <w:p w:rsidR="00D6536B" w:rsidRDefault="00D6536B" w:rsidP="00D6536B">
      <w:pPr>
        <w:autoSpaceDE w:val="0"/>
        <w:autoSpaceDN w:val="0"/>
        <w:adjustRightInd w:val="0"/>
        <w:spacing w:after="0" w:line="240" w:lineRule="auto"/>
        <w:rPr>
          <w:rFonts w:cs="Arial"/>
          <w:b/>
          <w:bCs/>
          <w:sz w:val="28"/>
          <w:szCs w:val="28"/>
        </w:rPr>
      </w:pPr>
      <w:r>
        <w:rPr>
          <w:rFonts w:cs="Arial"/>
          <w:b/>
          <w:bCs/>
          <w:sz w:val="28"/>
          <w:szCs w:val="28"/>
        </w:rPr>
        <w:t>Australian Information and Communications Technology in</w:t>
      </w:r>
    </w:p>
    <w:p w:rsidR="00D6536B" w:rsidRDefault="00D6536B" w:rsidP="00D6536B">
      <w:pPr>
        <w:autoSpaceDE w:val="0"/>
        <w:autoSpaceDN w:val="0"/>
        <w:adjustRightInd w:val="0"/>
        <w:spacing w:after="0" w:line="240" w:lineRule="auto"/>
        <w:rPr>
          <w:rFonts w:cs="Arial"/>
          <w:b/>
          <w:bCs/>
          <w:sz w:val="28"/>
          <w:szCs w:val="28"/>
        </w:rPr>
      </w:pPr>
      <w:r>
        <w:rPr>
          <w:rFonts w:cs="Arial"/>
          <w:b/>
          <w:bCs/>
          <w:sz w:val="28"/>
          <w:szCs w:val="28"/>
        </w:rPr>
        <w:t>Education Committee’s (AICTEC)</w:t>
      </w:r>
    </w:p>
    <w:p w:rsidR="00D6536B" w:rsidRDefault="00D6536B" w:rsidP="00D6536B">
      <w:pPr>
        <w:rPr>
          <w:rFonts w:cs="Arial"/>
          <w:i/>
          <w:iCs/>
        </w:rPr>
      </w:pPr>
      <w:r>
        <w:rPr>
          <w:rFonts w:cs="Arial"/>
          <w:i/>
          <w:iCs/>
        </w:rPr>
        <w:t>21 January 2009</w:t>
      </w:r>
    </w:p>
    <w:p w:rsidR="00D6536B" w:rsidRDefault="00D6536B" w:rsidP="00D6536B"/>
    <w:p w:rsidR="00A65135" w:rsidRDefault="00A65135"/>
    <w:sectPr w:rsidR="00A65135" w:rsidSect="00A6513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Futura LT Medium">
    <w:altName w:val="Futura LT Medium"/>
    <w:panose1 w:val="00000000000000000000"/>
    <w:charset w:val="00"/>
    <w:family w:val="swiss"/>
    <w:notTrueType/>
    <w:pitch w:val="default"/>
    <w:sig w:usb0="00000003" w:usb1="00000000" w:usb2="00000000" w:usb3="00000000" w:csb0="00000001" w:csb1="00000000"/>
  </w:font>
  <w:font w:name="Univers LT 55">
    <w:altName w:val="Univers LT 55"/>
    <w:panose1 w:val="00000000000000000000"/>
    <w:charset w:val="00"/>
    <w:family w:val="swiss"/>
    <w:notTrueType/>
    <w:pitch w:val="default"/>
    <w:sig w:usb0="00000003" w:usb1="00000000" w:usb2="00000000" w:usb3="00000000" w:csb0="00000001" w:csb1="00000000"/>
  </w:font>
  <w:font w:name="VistaSansOT-Light">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swiss"/>
    <w:notTrueType/>
    <w:pitch w:val="default"/>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TimesNewRoman,BoldItalic">
    <w:panose1 w:val="00000000000000000000"/>
    <w:charset w:val="00"/>
    <w:family w:val="roman"/>
    <w:notTrueType/>
    <w:pitch w:val="default"/>
    <w:sig w:usb0="00000003" w:usb1="00000000" w:usb2="00000000" w:usb3="00000000" w:csb0="00000001" w:csb1="00000000"/>
  </w:font>
  <w:font w:name="NewsGothicStd">
    <w:panose1 w:val="00000000000000000000"/>
    <w:charset w:val="00"/>
    <w:family w:val="auto"/>
    <w:notTrueType/>
    <w:pitch w:val="default"/>
    <w:sig w:usb0="00000003" w:usb1="00000000" w:usb2="00000000" w:usb3="00000000" w:csb0="00000001" w:csb1="00000000"/>
  </w:font>
  <w:font w:name="TimesNewRomanPS-BoldMT">
    <w:panose1 w:val="00000000000000000000"/>
    <w:charset w:val="00"/>
    <w:family w:val="roman"/>
    <w:notTrueType/>
    <w:pitch w:val="default"/>
    <w:sig w:usb0="00000003" w:usb1="00000000" w:usb2="00000000" w:usb3="00000000" w:csb0="00000001" w:csb1="00000000"/>
  </w:font>
  <w:font w:name="Futura LT Book">
    <w:altName w:val="Futura LT Book"/>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MS">
    <w:panose1 w:val="00000000000000000000"/>
    <w:charset w:val="00"/>
    <w:family w:val="auto"/>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B4E9E"/>
    <w:multiLevelType w:val="hybridMultilevel"/>
    <w:tmpl w:val="9C76CB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7DA57A4"/>
    <w:multiLevelType w:val="hybridMultilevel"/>
    <w:tmpl w:val="E8ACBA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97D3B06"/>
    <w:multiLevelType w:val="hybridMultilevel"/>
    <w:tmpl w:val="425E62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A7D0F73"/>
    <w:multiLevelType w:val="hybridMultilevel"/>
    <w:tmpl w:val="E04EB24E"/>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
    <w:nsid w:val="131D057E"/>
    <w:multiLevelType w:val="hybridMultilevel"/>
    <w:tmpl w:val="AF362A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5341114"/>
    <w:multiLevelType w:val="hybridMultilevel"/>
    <w:tmpl w:val="E3E210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CAF1A07"/>
    <w:multiLevelType w:val="hybridMultilevel"/>
    <w:tmpl w:val="550AC322"/>
    <w:lvl w:ilvl="0" w:tplc="8A126798">
      <w:start w:val="1"/>
      <w:numFmt w:val="bullet"/>
      <w:lvlText w:val="•"/>
      <w:lvlJc w:val="left"/>
      <w:pPr>
        <w:tabs>
          <w:tab w:val="num" w:pos="540"/>
        </w:tabs>
        <w:ind w:left="540" w:hanging="360"/>
      </w:pPr>
      <w:rPr>
        <w:rFonts w:ascii="Calibri" w:hAnsi="Calibri" w:hint="default"/>
      </w:rPr>
    </w:lvl>
    <w:lvl w:ilvl="1" w:tplc="0C090003" w:tentative="1">
      <w:start w:val="1"/>
      <w:numFmt w:val="bullet"/>
      <w:lvlText w:val="•"/>
      <w:lvlJc w:val="left"/>
      <w:pPr>
        <w:tabs>
          <w:tab w:val="num" w:pos="1440"/>
        </w:tabs>
        <w:ind w:left="1440" w:hanging="360"/>
      </w:pPr>
      <w:rPr>
        <w:rFonts w:ascii="Calibri" w:hAnsi="Calibri" w:hint="default"/>
      </w:rPr>
    </w:lvl>
    <w:lvl w:ilvl="2" w:tplc="0C090005" w:tentative="1">
      <w:start w:val="1"/>
      <w:numFmt w:val="bullet"/>
      <w:lvlText w:val="•"/>
      <w:lvlJc w:val="left"/>
      <w:pPr>
        <w:tabs>
          <w:tab w:val="num" w:pos="2160"/>
        </w:tabs>
        <w:ind w:left="2160" w:hanging="360"/>
      </w:pPr>
      <w:rPr>
        <w:rFonts w:ascii="Calibri" w:hAnsi="Calibri" w:hint="default"/>
      </w:rPr>
    </w:lvl>
    <w:lvl w:ilvl="3" w:tplc="0C090001" w:tentative="1">
      <w:start w:val="1"/>
      <w:numFmt w:val="bullet"/>
      <w:lvlText w:val="•"/>
      <w:lvlJc w:val="left"/>
      <w:pPr>
        <w:tabs>
          <w:tab w:val="num" w:pos="2880"/>
        </w:tabs>
        <w:ind w:left="2880" w:hanging="360"/>
      </w:pPr>
      <w:rPr>
        <w:rFonts w:ascii="Calibri" w:hAnsi="Calibri" w:hint="default"/>
      </w:rPr>
    </w:lvl>
    <w:lvl w:ilvl="4" w:tplc="0C090003" w:tentative="1">
      <w:start w:val="1"/>
      <w:numFmt w:val="bullet"/>
      <w:lvlText w:val="•"/>
      <w:lvlJc w:val="left"/>
      <w:pPr>
        <w:tabs>
          <w:tab w:val="num" w:pos="3600"/>
        </w:tabs>
        <w:ind w:left="3600" w:hanging="360"/>
      </w:pPr>
      <w:rPr>
        <w:rFonts w:ascii="Calibri" w:hAnsi="Calibri" w:hint="default"/>
      </w:rPr>
    </w:lvl>
    <w:lvl w:ilvl="5" w:tplc="0C090005" w:tentative="1">
      <w:start w:val="1"/>
      <w:numFmt w:val="bullet"/>
      <w:lvlText w:val="•"/>
      <w:lvlJc w:val="left"/>
      <w:pPr>
        <w:tabs>
          <w:tab w:val="num" w:pos="4320"/>
        </w:tabs>
        <w:ind w:left="4320" w:hanging="360"/>
      </w:pPr>
      <w:rPr>
        <w:rFonts w:ascii="Calibri" w:hAnsi="Calibri" w:hint="default"/>
      </w:rPr>
    </w:lvl>
    <w:lvl w:ilvl="6" w:tplc="0C090001" w:tentative="1">
      <w:start w:val="1"/>
      <w:numFmt w:val="bullet"/>
      <w:lvlText w:val="•"/>
      <w:lvlJc w:val="left"/>
      <w:pPr>
        <w:tabs>
          <w:tab w:val="num" w:pos="5040"/>
        </w:tabs>
        <w:ind w:left="5040" w:hanging="360"/>
      </w:pPr>
      <w:rPr>
        <w:rFonts w:ascii="Calibri" w:hAnsi="Calibri" w:hint="default"/>
      </w:rPr>
    </w:lvl>
    <w:lvl w:ilvl="7" w:tplc="0C090003" w:tentative="1">
      <w:start w:val="1"/>
      <w:numFmt w:val="bullet"/>
      <w:lvlText w:val="•"/>
      <w:lvlJc w:val="left"/>
      <w:pPr>
        <w:tabs>
          <w:tab w:val="num" w:pos="5760"/>
        </w:tabs>
        <w:ind w:left="5760" w:hanging="360"/>
      </w:pPr>
      <w:rPr>
        <w:rFonts w:ascii="Calibri" w:hAnsi="Calibri" w:hint="default"/>
      </w:rPr>
    </w:lvl>
    <w:lvl w:ilvl="8" w:tplc="0C090005" w:tentative="1">
      <w:start w:val="1"/>
      <w:numFmt w:val="bullet"/>
      <w:lvlText w:val="•"/>
      <w:lvlJc w:val="left"/>
      <w:pPr>
        <w:tabs>
          <w:tab w:val="num" w:pos="6480"/>
        </w:tabs>
        <w:ind w:left="6480" w:hanging="360"/>
      </w:pPr>
      <w:rPr>
        <w:rFonts w:ascii="Calibri" w:hAnsi="Calibri" w:hint="default"/>
      </w:rPr>
    </w:lvl>
  </w:abstractNum>
  <w:abstractNum w:abstractNumId="7">
    <w:nsid w:val="380960F9"/>
    <w:multiLevelType w:val="hybridMultilevel"/>
    <w:tmpl w:val="337C8440"/>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8">
    <w:nsid w:val="3B7D6FD1"/>
    <w:multiLevelType w:val="hybridMultilevel"/>
    <w:tmpl w:val="6F2A07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415479B8"/>
    <w:multiLevelType w:val="hybridMultilevel"/>
    <w:tmpl w:val="9F5AB1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CBA34C5"/>
    <w:multiLevelType w:val="hybridMultilevel"/>
    <w:tmpl w:val="D38428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533B481F"/>
    <w:multiLevelType w:val="hybridMultilevel"/>
    <w:tmpl w:val="4002020E"/>
    <w:lvl w:ilvl="0" w:tplc="9BBC181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79F2F33"/>
    <w:multiLevelType w:val="hybridMultilevel"/>
    <w:tmpl w:val="4C5A6D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6BEB5B92"/>
    <w:multiLevelType w:val="hybridMultilevel"/>
    <w:tmpl w:val="48BCD532"/>
    <w:lvl w:ilvl="0" w:tplc="FFFFFFFF">
      <w:start w:val="1"/>
      <w:numFmt w:val="bullet"/>
      <w:lvlText w:val="•"/>
      <w:lvlJc w:val="left"/>
      <w:pPr>
        <w:tabs>
          <w:tab w:val="num" w:pos="540"/>
        </w:tabs>
        <w:ind w:left="540" w:hanging="360"/>
      </w:pPr>
      <w:rPr>
        <w:rFonts w:ascii="Calibri" w:hAnsi="Calibri" w:hint="default"/>
      </w:rPr>
    </w:lvl>
    <w:lvl w:ilvl="1" w:tplc="FFFFFFFF">
      <w:start w:val="1"/>
      <w:numFmt w:val="bullet"/>
      <w:lvlText w:val=""/>
      <w:lvlJc w:val="left"/>
      <w:pPr>
        <w:tabs>
          <w:tab w:val="num" w:pos="540"/>
        </w:tabs>
        <w:ind w:left="540" w:hanging="360"/>
      </w:pPr>
      <w:rPr>
        <w:rFonts w:ascii="Symbol" w:hAnsi="Symbol"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Calibri" w:hAnsi="Calibri" w:hint="default"/>
      </w:rPr>
    </w:lvl>
    <w:lvl w:ilvl="4" w:tplc="FFFFFFFF" w:tentative="1">
      <w:start w:val="1"/>
      <w:numFmt w:val="bullet"/>
      <w:lvlText w:val="•"/>
      <w:lvlJc w:val="left"/>
      <w:pPr>
        <w:tabs>
          <w:tab w:val="num" w:pos="3600"/>
        </w:tabs>
        <w:ind w:left="3600" w:hanging="360"/>
      </w:pPr>
      <w:rPr>
        <w:rFonts w:ascii="Calibri" w:hAnsi="Calibri"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Calibri" w:hAnsi="Calibri" w:hint="default"/>
      </w:rPr>
    </w:lvl>
    <w:lvl w:ilvl="7" w:tplc="FFFFFFFF" w:tentative="1">
      <w:start w:val="1"/>
      <w:numFmt w:val="bullet"/>
      <w:lvlText w:val="•"/>
      <w:lvlJc w:val="left"/>
      <w:pPr>
        <w:tabs>
          <w:tab w:val="num" w:pos="5760"/>
        </w:tabs>
        <w:ind w:left="5760" w:hanging="360"/>
      </w:pPr>
      <w:rPr>
        <w:rFonts w:ascii="Calibri" w:hAnsi="Calibri" w:hint="default"/>
      </w:rPr>
    </w:lvl>
    <w:lvl w:ilvl="8" w:tplc="FFFFFFFF" w:tentative="1">
      <w:start w:val="1"/>
      <w:numFmt w:val="bullet"/>
      <w:lvlText w:val="•"/>
      <w:lvlJc w:val="left"/>
      <w:pPr>
        <w:tabs>
          <w:tab w:val="num" w:pos="6480"/>
        </w:tabs>
        <w:ind w:left="6480" w:hanging="360"/>
      </w:pPr>
      <w:rPr>
        <w:rFonts w:ascii="Calibri" w:hAnsi="Calibri" w:hint="default"/>
      </w:rPr>
    </w:lvl>
  </w:abstractNum>
  <w:num w:numId="1">
    <w:abstractNumId w:val="3"/>
  </w:num>
  <w:num w:numId="2">
    <w:abstractNumId w:val="11"/>
  </w:num>
  <w:num w:numId="3">
    <w:abstractNumId w:val="2"/>
  </w:num>
  <w:num w:numId="4">
    <w:abstractNumId w:val="8"/>
  </w:num>
  <w:num w:numId="5">
    <w:abstractNumId w:val="10"/>
  </w:num>
  <w:num w:numId="6">
    <w:abstractNumId w:val="1"/>
  </w:num>
  <w:num w:numId="7">
    <w:abstractNumId w:val="7"/>
  </w:num>
  <w:num w:numId="8">
    <w:abstractNumId w:val="13"/>
  </w:num>
  <w:num w:numId="9">
    <w:abstractNumId w:val="6"/>
  </w:num>
  <w:num w:numId="10">
    <w:abstractNumId w:val="9"/>
  </w:num>
  <w:num w:numId="11">
    <w:abstractNumId w:val="4"/>
  </w:num>
  <w:num w:numId="12">
    <w:abstractNumId w:val="0"/>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markup="0" w:comments="0" w:insDel="0" w:formatting="0" w:inkAnnotations="0"/>
  <w:defaultTabStop w:val="720"/>
  <w:characterSpacingControl w:val="doNotCompress"/>
  <w:savePreviewPicture/>
  <w:compat>
    <w:useFELayout/>
  </w:compat>
  <w:rsids>
    <w:rsidRoot w:val="00D6536B"/>
    <w:rsid w:val="00024FA8"/>
    <w:rsid w:val="00046788"/>
    <w:rsid w:val="000A7A29"/>
    <w:rsid w:val="000E47D7"/>
    <w:rsid w:val="001E4F92"/>
    <w:rsid w:val="00264068"/>
    <w:rsid w:val="00290061"/>
    <w:rsid w:val="002F5F88"/>
    <w:rsid w:val="004A060A"/>
    <w:rsid w:val="004E6AF9"/>
    <w:rsid w:val="005D4735"/>
    <w:rsid w:val="006012FF"/>
    <w:rsid w:val="00760487"/>
    <w:rsid w:val="007F0C66"/>
    <w:rsid w:val="00857AE6"/>
    <w:rsid w:val="0092310F"/>
    <w:rsid w:val="009E5462"/>
    <w:rsid w:val="00A0502A"/>
    <w:rsid w:val="00A46954"/>
    <w:rsid w:val="00A65135"/>
    <w:rsid w:val="00B411A7"/>
    <w:rsid w:val="00D6536B"/>
    <w:rsid w:val="00E12595"/>
    <w:rsid w:val="00E4160C"/>
    <w:rsid w:val="00E57DDB"/>
    <w:rsid w:val="00E6153E"/>
    <w:rsid w:val="00E873A0"/>
    <w:rsid w:val="00F07074"/>
    <w:rsid w:val="00F214BE"/>
    <w:rsid w:val="00F8596B"/>
    <w:rsid w:val="00FE72C5"/>
  </w:rsids>
  <m:mathPr>
    <m:mathFont m:val="Cambria Math"/>
    <m:brkBin m:val="before"/>
    <m:brkBinSub m:val="--"/>
    <m:smallFrac m:val="off"/>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PMingLiU" w:hAnsiTheme="minorHAnsi" w:cstheme="minorBidi"/>
        <w:sz w:val="22"/>
        <w:szCs w:val="22"/>
        <w:lang w:val="en-AU"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36B"/>
    <w:rPr>
      <w:rFonts w:ascii="Arial" w:hAnsi="Arial" w:cs="Times New Roman"/>
    </w:rPr>
  </w:style>
  <w:style w:type="paragraph" w:styleId="Heading2">
    <w:name w:val="heading 2"/>
    <w:basedOn w:val="Normal"/>
    <w:next w:val="Normal"/>
    <w:link w:val="Heading2Char"/>
    <w:qFormat/>
    <w:rsid w:val="00D6536B"/>
    <w:pPr>
      <w:keepNext/>
      <w:spacing w:before="240" w:beforeAutospacing="1" w:after="60" w:afterAutospacing="1" w:line="240" w:lineRule="auto"/>
      <w:jc w:val="both"/>
      <w:outlineLvl w:val="1"/>
    </w:pPr>
    <w:rPr>
      <w:rFonts w:ascii="Times New Roman" w:eastAsia="Times New Roman" w:hAnsi="Times New Roman"/>
      <w:b/>
      <w:sz w:val="28"/>
      <w:szCs w:val="20"/>
      <w:lang w:eastAsia="en-AU"/>
    </w:rPr>
  </w:style>
  <w:style w:type="paragraph" w:styleId="Heading3">
    <w:name w:val="heading 3"/>
    <w:basedOn w:val="Normal"/>
    <w:next w:val="Normal"/>
    <w:link w:val="Heading3Char"/>
    <w:uiPriority w:val="9"/>
    <w:unhideWhenUsed/>
    <w:qFormat/>
    <w:rsid w:val="00B411A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411A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6536B"/>
    <w:rPr>
      <w:rFonts w:ascii="Times New Roman" w:eastAsia="Times New Roman" w:hAnsi="Times New Roman" w:cs="Times New Roman"/>
      <w:b/>
      <w:sz w:val="28"/>
      <w:szCs w:val="20"/>
      <w:lang w:eastAsia="en-AU"/>
    </w:rPr>
  </w:style>
  <w:style w:type="paragraph" w:styleId="ListParagraph">
    <w:name w:val="List Paragraph"/>
    <w:basedOn w:val="Normal"/>
    <w:uiPriority w:val="34"/>
    <w:qFormat/>
    <w:rsid w:val="00D6536B"/>
    <w:pPr>
      <w:ind w:left="720"/>
      <w:contextualSpacing/>
    </w:pPr>
  </w:style>
  <w:style w:type="character" w:styleId="Hyperlink">
    <w:name w:val="Hyperlink"/>
    <w:basedOn w:val="DefaultParagraphFont"/>
    <w:uiPriority w:val="99"/>
    <w:unhideWhenUsed/>
    <w:rsid w:val="00D6536B"/>
    <w:rPr>
      <w:color w:val="0000FF" w:themeColor="hyperlink"/>
      <w:u w:val="single"/>
    </w:rPr>
  </w:style>
  <w:style w:type="paragraph" w:customStyle="1" w:styleId="Default">
    <w:name w:val="Default"/>
    <w:rsid w:val="00D6536B"/>
    <w:pPr>
      <w:autoSpaceDE w:val="0"/>
      <w:autoSpaceDN w:val="0"/>
      <w:adjustRightInd w:val="0"/>
      <w:spacing w:after="0" w:line="240" w:lineRule="auto"/>
    </w:pPr>
    <w:rPr>
      <w:rFonts w:ascii="Futura LT Medium" w:hAnsi="Futura LT Medium" w:cs="Futura LT Medium"/>
      <w:color w:val="000000"/>
      <w:sz w:val="24"/>
      <w:szCs w:val="24"/>
    </w:rPr>
  </w:style>
  <w:style w:type="character" w:customStyle="1" w:styleId="A0">
    <w:name w:val="A0"/>
    <w:uiPriority w:val="99"/>
    <w:rsid w:val="00D6536B"/>
    <w:rPr>
      <w:rFonts w:cs="Futura LT Medium"/>
      <w:b/>
      <w:bCs/>
      <w:color w:val="000000"/>
      <w:sz w:val="60"/>
      <w:szCs w:val="60"/>
    </w:rPr>
  </w:style>
  <w:style w:type="character" w:styleId="Emphasis">
    <w:name w:val="Emphasis"/>
    <w:basedOn w:val="DefaultParagraphFont"/>
    <w:uiPriority w:val="20"/>
    <w:qFormat/>
    <w:rsid w:val="00D6536B"/>
    <w:rPr>
      <w:b/>
      <w:bCs/>
      <w:i w:val="0"/>
      <w:iCs w:val="0"/>
    </w:rPr>
  </w:style>
  <w:style w:type="character" w:customStyle="1" w:styleId="Heading3Char">
    <w:name w:val="Heading 3 Char"/>
    <w:basedOn w:val="DefaultParagraphFont"/>
    <w:link w:val="Heading3"/>
    <w:uiPriority w:val="9"/>
    <w:rsid w:val="00B411A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411A7"/>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http://www.thesmithfamily.com.a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1260</Words>
  <Characters>7185</Characters>
  <Application>Microsoft Office Word</Application>
  <DocSecurity>0</DocSecurity>
  <Lines>59</Lines>
  <Paragraphs>16</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    Section 4 	 PARENTS AND FAMILIES   </vt:lpstr>
      <vt:lpstr>        INTENDED OUTCOMES </vt:lpstr>
      <vt:lpstr>        EVIDENCE BASE </vt:lpstr>
      <vt:lpstr>        OPPORTUNITIES AVAILABLE TO TSFPB  TO STRENGTHEN PARENTS AND FAMILIES PARTICIPATI</vt:lpstr>
      <vt:lpstr>        Leverage  existing TSF  programs </vt:lpstr>
      <vt:lpstr>        Strong research support for an expanded role for parent partnerships </vt:lpstr>
      <vt:lpstr>        Grass roots demand for  quality data ,information and knowledge </vt:lpstr>
      <vt:lpstr>        Challenges to peak body representative models </vt:lpstr>
    </vt:vector>
  </TitlesOfParts>
  <Company/>
  <LinksUpToDate>false</LinksUpToDate>
  <CharactersWithSpaces>8429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dc:creator>
  <cp:lastModifiedBy>Bill</cp:lastModifiedBy>
  <cp:revision>3</cp:revision>
  <dcterms:created xsi:type="dcterms:W3CDTF">2010-03-18T06:17:00Z</dcterms:created>
  <dcterms:modified xsi:type="dcterms:W3CDTF">2010-03-18T06:19:00Z</dcterms:modified>
</cp:coreProperties>
</file>