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C5" w:rsidRPr="00A22376" w:rsidRDefault="000B55D7" w:rsidP="000B55D7">
      <w:pPr>
        <w:spacing w:line="480" w:lineRule="auto"/>
        <w:jc w:val="center"/>
        <w:rPr>
          <w:rFonts w:ascii="Times New Roman" w:hAnsi="Times New Roman" w:cs="Arial"/>
          <w:b/>
          <w:sz w:val="24"/>
          <w:szCs w:val="24"/>
          <w:u w:val="single"/>
          <w:lang w:val="fr-CA"/>
        </w:rPr>
      </w:pPr>
      <w:r w:rsidRPr="00A22376">
        <w:rPr>
          <w:rFonts w:ascii="Times New Roman" w:hAnsi="Times New Roman" w:cs="Arial"/>
          <w:b/>
          <w:sz w:val="24"/>
          <w:szCs w:val="24"/>
          <w:u w:val="single"/>
          <w:lang w:val="fr-CA"/>
        </w:rPr>
        <w:t>Situation de handicap</w:t>
      </w:r>
    </w:p>
    <w:p w:rsidR="007A45C5" w:rsidRPr="00A22376" w:rsidRDefault="007A45C5" w:rsidP="000B55D7">
      <w:pPr>
        <w:spacing w:line="480" w:lineRule="auto"/>
        <w:jc w:val="both"/>
        <w:rPr>
          <w:rFonts w:ascii="Times New Roman" w:hAnsi="Times New Roman" w:cs="Arial"/>
          <w:sz w:val="24"/>
          <w:szCs w:val="24"/>
          <w:lang w:val="fr-CA"/>
        </w:rPr>
      </w:pPr>
      <w:r w:rsidRPr="00A22376">
        <w:rPr>
          <w:rFonts w:ascii="Times New Roman" w:hAnsi="Times New Roman" w:cs="Arial"/>
          <w:sz w:val="24"/>
          <w:szCs w:val="24"/>
          <w:lang w:val="fr-CA"/>
        </w:rPr>
        <w:t>Selon le Petit Larousse (2003), la notion de handicap se rapporte à un « désavantage », une « infirmité ou déficience, congénitale ou acquise ». Or, la situation de handicap est définie par Dudgeon (2009)</w:t>
      </w:r>
      <w:r w:rsidRPr="00A22376">
        <w:rPr>
          <w:rFonts w:ascii="Times New Roman" w:hAnsi="Times New Roman" w:cs="Arial"/>
          <w:i/>
          <w:sz w:val="24"/>
          <w:szCs w:val="24"/>
          <w:lang w:val="fr-CA"/>
        </w:rPr>
        <w:t xml:space="preserve"> </w:t>
      </w:r>
      <w:r w:rsidRPr="00A22376">
        <w:rPr>
          <w:rFonts w:ascii="Times New Roman" w:hAnsi="Times New Roman" w:cs="Arial"/>
          <w:sz w:val="24"/>
          <w:szCs w:val="24"/>
          <w:lang w:val="fr-CA"/>
        </w:rPr>
        <w:t>comme étant un état dans lequel un individu éprouve une limitation partielle ou une restriction complète dans l’exercice de ses activités. Il est évident que ces deux définitions diffèrent énormément, car la première considère seulement le niveau d’aptitude de la personne</w:t>
      </w:r>
      <w:r w:rsidR="00A22376">
        <w:rPr>
          <w:rFonts w:ascii="Times New Roman" w:hAnsi="Times New Roman" w:cs="Arial"/>
          <w:sz w:val="24"/>
          <w:szCs w:val="24"/>
          <w:lang w:val="fr-CA"/>
        </w:rPr>
        <w:t>. Comme Monsieur</w:t>
      </w:r>
      <w:r w:rsidRPr="00A22376">
        <w:rPr>
          <w:rFonts w:ascii="Times New Roman" w:hAnsi="Times New Roman" w:cs="Arial"/>
          <w:sz w:val="24"/>
          <w:szCs w:val="24"/>
          <w:lang w:val="fr-CA"/>
        </w:rPr>
        <w:t xml:space="preserve"> </w:t>
      </w:r>
      <w:proofErr w:type="spellStart"/>
      <w:r w:rsidRPr="00A22376">
        <w:rPr>
          <w:rFonts w:ascii="Times New Roman" w:hAnsi="Times New Roman" w:cs="Arial"/>
          <w:sz w:val="24"/>
          <w:szCs w:val="24"/>
          <w:lang w:val="fr-CA"/>
        </w:rPr>
        <w:t>Khami</w:t>
      </w:r>
      <w:proofErr w:type="spellEnd"/>
      <w:r w:rsidRPr="00A22376">
        <w:rPr>
          <w:rFonts w:ascii="Times New Roman" w:hAnsi="Times New Roman" w:cs="Arial"/>
          <w:sz w:val="24"/>
          <w:szCs w:val="24"/>
          <w:lang w:val="fr-CA"/>
        </w:rPr>
        <w:t xml:space="preserve"> n’est plus en mesure de remplir ses fonctions, il se trouve dans une situation de handicap, tel qu’expliqué par Dudgeon (2009). La situation de handicap peut se traduire par un niveau d’autonomie insatisfaisant pour la personne, c’est-à-dire que l’individu se retrouve dans une situation où il ne</w:t>
      </w:r>
      <w:r w:rsidR="000B55D7" w:rsidRPr="00A22376">
        <w:rPr>
          <w:rFonts w:ascii="Times New Roman" w:hAnsi="Times New Roman" w:cs="Arial"/>
          <w:sz w:val="24"/>
          <w:szCs w:val="24"/>
          <w:lang w:val="fr-CA"/>
        </w:rPr>
        <w:t xml:space="preserve"> se</w:t>
      </w:r>
      <w:r w:rsidRPr="00A22376">
        <w:rPr>
          <w:rFonts w:ascii="Times New Roman" w:hAnsi="Times New Roman" w:cs="Arial"/>
          <w:sz w:val="24"/>
          <w:szCs w:val="24"/>
          <w:lang w:val="fr-CA"/>
        </w:rPr>
        <w:t xml:space="preserve"> sent pas en contrôle de sa propre vie. Dès lors, il est possible de dire que la situation de handicap dépend beaucoup de la conception qu’a la per</w:t>
      </w:r>
      <w:r w:rsidR="00A22376">
        <w:rPr>
          <w:rFonts w:ascii="Times New Roman" w:hAnsi="Times New Roman" w:cs="Arial"/>
          <w:sz w:val="24"/>
          <w:szCs w:val="24"/>
          <w:lang w:val="fr-CA"/>
        </w:rPr>
        <w:t>sonne de sa situation. Ainsi, Monsieur</w:t>
      </w:r>
      <w:r w:rsidRPr="00A22376">
        <w:rPr>
          <w:rFonts w:ascii="Times New Roman" w:hAnsi="Times New Roman" w:cs="Arial"/>
          <w:sz w:val="24"/>
          <w:szCs w:val="24"/>
          <w:lang w:val="fr-CA"/>
        </w:rPr>
        <w:t xml:space="preserve"> </w:t>
      </w:r>
      <w:proofErr w:type="spellStart"/>
      <w:r w:rsidRPr="00A22376">
        <w:rPr>
          <w:rFonts w:ascii="Times New Roman" w:hAnsi="Times New Roman" w:cs="Arial"/>
          <w:sz w:val="24"/>
          <w:szCs w:val="24"/>
          <w:lang w:val="fr-CA"/>
        </w:rPr>
        <w:t>Khami</w:t>
      </w:r>
      <w:proofErr w:type="spellEnd"/>
      <w:r w:rsidRPr="00A22376">
        <w:rPr>
          <w:rFonts w:ascii="Times New Roman" w:hAnsi="Times New Roman" w:cs="Arial"/>
          <w:sz w:val="24"/>
          <w:szCs w:val="24"/>
          <w:lang w:val="fr-CA"/>
        </w:rPr>
        <w:t>, lorsqu’il dit ne pas voir de solution à ses problèmes</w:t>
      </w:r>
      <w:r w:rsidR="000B55D7" w:rsidRPr="00A22376">
        <w:rPr>
          <w:rFonts w:ascii="Times New Roman" w:hAnsi="Times New Roman" w:cs="Arial"/>
          <w:sz w:val="24"/>
          <w:szCs w:val="24"/>
          <w:lang w:val="fr-CA"/>
        </w:rPr>
        <w:t>,</w:t>
      </w:r>
      <w:r w:rsidRPr="00A22376">
        <w:rPr>
          <w:rFonts w:ascii="Times New Roman" w:hAnsi="Times New Roman" w:cs="Arial"/>
          <w:sz w:val="24"/>
          <w:szCs w:val="24"/>
          <w:lang w:val="fr-CA"/>
        </w:rPr>
        <w:t xml:space="preserve"> se trouve dans une situation de handicap parce qu’il se sent impuissant. Au contraire, lorsque quelqu’un n’éprouve pas de handicap, il participe pleinement à ses habitudes de vie en prenant part dans ses activités. Tel que mentionné par Christiansen et Baum (2005), une activité ou plus spécifiquement une tâche peut se réaliser lorsque la personne possède les habiletés requises pour la tâche. Aussi, les conditions environnementales doivent être favorables à l’accomplissement de la tâ</w:t>
      </w:r>
      <w:r w:rsidR="00A22376">
        <w:rPr>
          <w:rFonts w:ascii="Times New Roman" w:hAnsi="Times New Roman" w:cs="Arial"/>
          <w:sz w:val="24"/>
          <w:szCs w:val="24"/>
          <w:lang w:val="fr-CA"/>
        </w:rPr>
        <w:t>che. Dans le cas de Monsieur</w:t>
      </w:r>
      <w:r w:rsidRPr="00A22376">
        <w:rPr>
          <w:rFonts w:ascii="Times New Roman" w:hAnsi="Times New Roman" w:cs="Arial"/>
          <w:sz w:val="24"/>
          <w:szCs w:val="24"/>
          <w:lang w:val="fr-CA"/>
        </w:rPr>
        <w:t xml:space="preserve"> </w:t>
      </w:r>
      <w:proofErr w:type="spellStart"/>
      <w:r w:rsidRPr="00A22376">
        <w:rPr>
          <w:rFonts w:ascii="Times New Roman" w:hAnsi="Times New Roman" w:cs="Arial"/>
          <w:sz w:val="24"/>
          <w:szCs w:val="24"/>
          <w:lang w:val="fr-CA"/>
        </w:rPr>
        <w:t>Khami</w:t>
      </w:r>
      <w:proofErr w:type="spellEnd"/>
      <w:r w:rsidRPr="00A22376">
        <w:rPr>
          <w:rFonts w:ascii="Times New Roman" w:hAnsi="Times New Roman" w:cs="Arial"/>
          <w:sz w:val="24"/>
          <w:szCs w:val="24"/>
          <w:lang w:val="fr-CA"/>
        </w:rPr>
        <w:t xml:space="preserve">, sa situation actuelle démontre d’un certain handicap parce qu’il n’est pas en mesure de faire les activités qui font partie de ses occupations. Il ne se sent plus apte à travailler, il a l’impression qu’il ne remplit pas son rôle en tant que père et il n’assure plus de façon autonome ses déplacements en voiture et la réalisation de certaines tâches domestiques que doivent maintenant faire sa femme et sa fille aînée. On constate que ses occupations sont grandement affectées, bien qu’il lise toujours la bible, un passe-temps considéré comme étant un loisir. </w:t>
      </w:r>
      <w:r w:rsidRPr="00A22376">
        <w:rPr>
          <w:rFonts w:ascii="Times New Roman" w:hAnsi="Times New Roman" w:cs="Arial"/>
          <w:iCs/>
          <w:sz w:val="24"/>
          <w:szCs w:val="24"/>
          <w:lang w:val="fr-CA"/>
        </w:rPr>
        <w:t>Le modèle du processus de production du handicap (PPH)</w:t>
      </w:r>
      <w:r w:rsidRPr="00A22376">
        <w:rPr>
          <w:rFonts w:ascii="Times New Roman" w:hAnsi="Times New Roman" w:cs="Arial"/>
          <w:sz w:val="24"/>
          <w:szCs w:val="24"/>
          <w:lang w:val="fr-CA"/>
        </w:rPr>
        <w:t xml:space="preserve"> (</w:t>
      </w:r>
      <w:proofErr w:type="spellStart"/>
      <w:r w:rsidRPr="00A22376">
        <w:rPr>
          <w:rFonts w:ascii="Times New Roman" w:hAnsi="Times New Roman" w:cs="Arial"/>
          <w:sz w:val="24"/>
          <w:szCs w:val="24"/>
          <w:lang w:val="fr-CA"/>
        </w:rPr>
        <w:t>Fougeyrollas</w:t>
      </w:r>
      <w:proofErr w:type="spellEnd"/>
      <w:r w:rsidRPr="00A22376">
        <w:rPr>
          <w:rFonts w:ascii="Times New Roman" w:hAnsi="Times New Roman" w:cs="Arial"/>
          <w:sz w:val="24"/>
          <w:szCs w:val="24"/>
          <w:lang w:val="fr-CA"/>
        </w:rPr>
        <w:t>, 2010) décrit comment les facteurs environnementaux et personnels influencent la réalisation des tâches.  L’interaction constante entre ces facteurs détermine si les habitudes de vie pourront être accomplies de façon autonome. Advenant le cas où les activités de nos futurs clients en ergothérapie seraient restreintes, il sera alors approprié de parler d’un handicap et de chercher des solutions centrées sur le client pour remédier à la situation. Notre objectif commun sera atteint lorsque les activités de l’individu ne seront plus limitées. Sa situation se traduira alors en une participation sociale. Or, il est important de mentionner qu’il existe un continuum entre le concept de participation sociale et la situation de</w:t>
      </w:r>
      <w:r w:rsidR="000B55D7" w:rsidRPr="00A22376">
        <w:rPr>
          <w:rFonts w:ascii="Times New Roman" w:hAnsi="Times New Roman" w:cs="Arial"/>
          <w:sz w:val="24"/>
          <w:szCs w:val="24"/>
          <w:lang w:val="fr-CA"/>
        </w:rPr>
        <w:t xml:space="preserve"> handicap. Pour ce qui est de Monsieur </w:t>
      </w:r>
      <w:proofErr w:type="spellStart"/>
      <w:r w:rsidRPr="00A22376">
        <w:rPr>
          <w:rFonts w:ascii="Times New Roman" w:hAnsi="Times New Roman" w:cs="Arial"/>
          <w:sz w:val="24"/>
          <w:szCs w:val="24"/>
          <w:lang w:val="fr-CA"/>
        </w:rPr>
        <w:t>Khami</w:t>
      </w:r>
      <w:proofErr w:type="spellEnd"/>
      <w:r w:rsidRPr="00A22376">
        <w:rPr>
          <w:rFonts w:ascii="Times New Roman" w:hAnsi="Times New Roman" w:cs="Arial"/>
          <w:sz w:val="24"/>
          <w:szCs w:val="24"/>
          <w:lang w:val="fr-CA"/>
        </w:rPr>
        <w:t>, son pessimisme (facteur personnel) et ses dettes (facteur environnemental) agissent comme des facteurs faisant obstacle à son autonomie, tandis que le support familial (facteur environnemental) qu’il reçoit de sa femme retournée sur le marché du travail facilite la reprise de contrôle sur sa vie. Auprès de nos futurs clients en ergothérapie, notre</w:t>
      </w:r>
      <w:bookmarkStart w:id="0" w:name="_GoBack"/>
      <w:bookmarkEnd w:id="0"/>
      <w:r w:rsidRPr="00A22376">
        <w:rPr>
          <w:rFonts w:ascii="Times New Roman" w:hAnsi="Times New Roman" w:cs="Arial"/>
          <w:sz w:val="24"/>
          <w:szCs w:val="24"/>
          <w:lang w:val="fr-CA"/>
        </w:rPr>
        <w:t xml:space="preserve"> rôle sera de favoriser leur participation sociale en éliminant les contraintes environnementales et en favorisant le développement des aptitudes nécessaires à leurs occupations.</w:t>
      </w:r>
    </w:p>
    <w:p w:rsidR="000B55D7" w:rsidRPr="00A22376" w:rsidRDefault="000B55D7" w:rsidP="000B55D7">
      <w:pPr>
        <w:spacing w:line="480" w:lineRule="auto"/>
        <w:jc w:val="both"/>
        <w:rPr>
          <w:rFonts w:ascii="Times New Roman" w:hAnsi="Times New Roman" w:cs="Arial"/>
          <w:b/>
          <w:sz w:val="24"/>
          <w:szCs w:val="24"/>
          <w:lang w:val="fr-CA"/>
        </w:rPr>
      </w:pPr>
    </w:p>
    <w:p w:rsidR="00A22376" w:rsidRDefault="00A22376" w:rsidP="000B55D7">
      <w:pPr>
        <w:spacing w:line="480" w:lineRule="auto"/>
        <w:jc w:val="both"/>
        <w:rPr>
          <w:rFonts w:ascii="Times New Roman" w:hAnsi="Times New Roman" w:cs="Arial"/>
          <w:b/>
          <w:sz w:val="24"/>
          <w:szCs w:val="24"/>
          <w:lang w:val="fr-CA"/>
        </w:rPr>
      </w:pPr>
    </w:p>
    <w:p w:rsidR="00A22376" w:rsidRDefault="00A22376" w:rsidP="000B55D7">
      <w:pPr>
        <w:spacing w:line="480" w:lineRule="auto"/>
        <w:jc w:val="both"/>
        <w:rPr>
          <w:rFonts w:ascii="Times New Roman" w:hAnsi="Times New Roman" w:cs="Arial"/>
          <w:b/>
          <w:sz w:val="24"/>
          <w:szCs w:val="24"/>
          <w:lang w:val="fr-CA"/>
        </w:rPr>
      </w:pPr>
    </w:p>
    <w:p w:rsidR="00A22376" w:rsidRDefault="00A22376" w:rsidP="000B55D7">
      <w:pPr>
        <w:spacing w:line="480" w:lineRule="auto"/>
        <w:jc w:val="both"/>
        <w:rPr>
          <w:rFonts w:ascii="Times New Roman" w:hAnsi="Times New Roman" w:cs="Arial"/>
          <w:b/>
          <w:sz w:val="24"/>
          <w:szCs w:val="24"/>
          <w:lang w:val="fr-CA"/>
        </w:rPr>
      </w:pPr>
    </w:p>
    <w:p w:rsidR="000B55D7" w:rsidRPr="00A22376" w:rsidRDefault="000B55D7" w:rsidP="000B55D7">
      <w:pPr>
        <w:spacing w:line="480" w:lineRule="auto"/>
        <w:jc w:val="both"/>
        <w:rPr>
          <w:rFonts w:ascii="Times New Roman" w:hAnsi="Times New Roman" w:cs="Arial"/>
          <w:b/>
          <w:sz w:val="24"/>
          <w:szCs w:val="24"/>
          <w:lang w:val="fr-CA"/>
        </w:rPr>
      </w:pPr>
    </w:p>
    <w:p w:rsidR="000B55D7" w:rsidRPr="00A22376" w:rsidRDefault="000B55D7" w:rsidP="000B55D7">
      <w:pPr>
        <w:spacing w:line="480" w:lineRule="auto"/>
        <w:rPr>
          <w:rFonts w:ascii="Times New Roman" w:hAnsi="Times New Roman" w:cs="Arial"/>
          <w:b/>
          <w:sz w:val="24"/>
          <w:szCs w:val="24"/>
          <w:lang w:val="fr-CA"/>
        </w:rPr>
      </w:pPr>
    </w:p>
    <w:p w:rsidR="007A45C5" w:rsidRPr="00A22376" w:rsidRDefault="000B55D7" w:rsidP="000B55D7">
      <w:pPr>
        <w:spacing w:line="480" w:lineRule="auto"/>
        <w:rPr>
          <w:rFonts w:ascii="Times New Roman" w:hAnsi="Times New Roman" w:cs="Arial"/>
          <w:b/>
          <w:sz w:val="24"/>
          <w:szCs w:val="24"/>
          <w:lang w:val="fr-CA"/>
        </w:rPr>
      </w:pPr>
      <w:r w:rsidRPr="00A22376">
        <w:rPr>
          <w:rFonts w:ascii="Times New Roman" w:hAnsi="Times New Roman" w:cs="Arial"/>
          <w:b/>
          <w:sz w:val="24"/>
          <w:szCs w:val="24"/>
          <w:lang w:val="fr-CA"/>
        </w:rPr>
        <w:t>Référence</w:t>
      </w:r>
    </w:p>
    <w:p w:rsidR="007A45C5" w:rsidRPr="00A22376" w:rsidRDefault="007A45C5" w:rsidP="000B55D7">
      <w:pPr>
        <w:spacing w:line="480" w:lineRule="auto"/>
        <w:rPr>
          <w:rFonts w:ascii="Times New Roman" w:hAnsi="Times New Roman" w:cs="Arial"/>
          <w:sz w:val="24"/>
          <w:szCs w:val="24"/>
          <w:lang w:val="fr-CA"/>
        </w:rPr>
      </w:pPr>
      <w:r w:rsidRPr="00A22376">
        <w:rPr>
          <w:rFonts w:ascii="Times New Roman" w:hAnsi="Times New Roman" w:cs="Arial"/>
          <w:sz w:val="24"/>
          <w:szCs w:val="24"/>
          <w:lang w:val="fr-CA"/>
        </w:rPr>
        <w:t xml:space="preserve">2003. </w:t>
      </w:r>
      <w:r w:rsidRPr="00A22376">
        <w:rPr>
          <w:rFonts w:ascii="Times New Roman" w:hAnsi="Times New Roman" w:cs="Arial"/>
          <w:i/>
          <w:iCs/>
          <w:sz w:val="24"/>
          <w:szCs w:val="24"/>
          <w:lang w:val="fr-CA"/>
        </w:rPr>
        <w:t>Le Petit Larousse Illustré</w:t>
      </w:r>
      <w:r w:rsidRPr="00A22376">
        <w:rPr>
          <w:rFonts w:ascii="Times New Roman" w:hAnsi="Times New Roman" w:cs="Arial"/>
          <w:sz w:val="24"/>
          <w:szCs w:val="24"/>
          <w:lang w:val="fr-CA"/>
        </w:rPr>
        <w:t>. Paris, LAROUSSE.</w:t>
      </w:r>
    </w:p>
    <w:p w:rsidR="007A45C5" w:rsidRPr="00A22376" w:rsidRDefault="007A45C5" w:rsidP="000B55D7">
      <w:pPr>
        <w:spacing w:line="480" w:lineRule="auto"/>
        <w:rPr>
          <w:rFonts w:ascii="Times New Roman" w:hAnsi="Times New Roman" w:cs="Arial"/>
          <w:sz w:val="24"/>
          <w:szCs w:val="24"/>
        </w:rPr>
      </w:pPr>
      <w:proofErr w:type="gramStart"/>
      <w:r w:rsidRPr="00A22376">
        <w:rPr>
          <w:rFonts w:ascii="Times New Roman" w:hAnsi="Times New Roman" w:cs="Arial"/>
          <w:sz w:val="24"/>
          <w:szCs w:val="24"/>
          <w:lang w:val="en-US"/>
        </w:rPr>
        <w:t>Christiansen, Charles H. &amp; Carolyn M. Baum.</w:t>
      </w:r>
      <w:proofErr w:type="gramEnd"/>
      <w:r w:rsidRPr="00A22376">
        <w:rPr>
          <w:rFonts w:ascii="Times New Roman" w:hAnsi="Times New Roman" w:cs="Arial"/>
          <w:sz w:val="24"/>
          <w:szCs w:val="24"/>
          <w:lang w:val="en-US"/>
        </w:rPr>
        <w:t xml:space="preserve"> </w:t>
      </w:r>
      <w:r w:rsidRPr="00A22376">
        <w:rPr>
          <w:rFonts w:ascii="Times New Roman" w:hAnsi="Times New Roman" w:cs="Arial"/>
          <w:sz w:val="24"/>
          <w:szCs w:val="24"/>
        </w:rPr>
        <w:t xml:space="preserve">(2005). The Complexity of Human Occupation. </w:t>
      </w:r>
      <w:proofErr w:type="spellStart"/>
      <w:r w:rsidRPr="00A22376">
        <w:rPr>
          <w:rFonts w:ascii="Times New Roman" w:hAnsi="Times New Roman" w:cs="Arial"/>
          <w:sz w:val="24"/>
          <w:szCs w:val="24"/>
        </w:rPr>
        <w:t>Dans</w:t>
      </w:r>
      <w:proofErr w:type="spellEnd"/>
      <w:r w:rsidRPr="00A22376">
        <w:rPr>
          <w:rFonts w:ascii="Times New Roman" w:hAnsi="Times New Roman" w:cs="Arial"/>
          <w:sz w:val="24"/>
          <w:szCs w:val="24"/>
        </w:rPr>
        <w:t xml:space="preserve"> C.H. Christiansen, C.M. Baum, et J. Bass-Haugen, </w:t>
      </w:r>
      <w:r w:rsidRPr="00A22376">
        <w:rPr>
          <w:rFonts w:ascii="Times New Roman" w:hAnsi="Times New Roman" w:cs="Arial"/>
          <w:i/>
          <w:sz w:val="24"/>
          <w:szCs w:val="24"/>
        </w:rPr>
        <w:t xml:space="preserve">Occupational Therapy : Performance, participation and well-being </w:t>
      </w:r>
      <w:r w:rsidRPr="00A22376">
        <w:rPr>
          <w:rFonts w:ascii="Times New Roman" w:hAnsi="Times New Roman" w:cs="Arial"/>
          <w:sz w:val="24"/>
          <w:szCs w:val="24"/>
        </w:rPr>
        <w:t>(3</w:t>
      </w:r>
      <w:r w:rsidRPr="00A22376">
        <w:rPr>
          <w:rFonts w:ascii="Times New Roman" w:hAnsi="Times New Roman" w:cs="Arial"/>
          <w:sz w:val="24"/>
          <w:szCs w:val="24"/>
          <w:vertAlign w:val="superscript"/>
        </w:rPr>
        <w:t>e</w:t>
      </w:r>
      <w:r w:rsidRPr="00A22376">
        <w:rPr>
          <w:rFonts w:ascii="Times New Roman" w:hAnsi="Times New Roman" w:cs="Arial"/>
          <w:sz w:val="24"/>
          <w:szCs w:val="24"/>
        </w:rPr>
        <w:t xml:space="preserve"> </w:t>
      </w:r>
      <w:proofErr w:type="spellStart"/>
      <w:r w:rsidRPr="00A22376">
        <w:rPr>
          <w:rFonts w:ascii="Times New Roman" w:hAnsi="Times New Roman" w:cs="Arial"/>
          <w:sz w:val="24"/>
          <w:szCs w:val="24"/>
        </w:rPr>
        <w:t>éd</w:t>
      </w:r>
      <w:proofErr w:type="spellEnd"/>
      <w:r w:rsidRPr="00A22376">
        <w:rPr>
          <w:rFonts w:ascii="Times New Roman" w:hAnsi="Times New Roman" w:cs="Arial"/>
          <w:sz w:val="24"/>
          <w:szCs w:val="24"/>
        </w:rPr>
        <w:t>., 680 p.). New Jersey: SLACK Incorporated.</w:t>
      </w:r>
    </w:p>
    <w:p w:rsidR="007A45C5" w:rsidRPr="00A22376" w:rsidRDefault="007A45C5" w:rsidP="000B55D7">
      <w:pPr>
        <w:spacing w:line="480" w:lineRule="auto"/>
        <w:rPr>
          <w:rFonts w:ascii="Times New Roman" w:hAnsi="Times New Roman" w:cs="Arial"/>
          <w:sz w:val="24"/>
          <w:szCs w:val="24"/>
        </w:rPr>
      </w:pPr>
      <w:r w:rsidRPr="00A22376">
        <w:rPr>
          <w:rFonts w:ascii="Times New Roman" w:hAnsi="Times New Roman" w:cs="Arial"/>
          <w:sz w:val="24"/>
          <w:szCs w:val="24"/>
        </w:rPr>
        <w:t xml:space="preserve">Dudgeon, Brian J. (2009). Community Integration. </w:t>
      </w:r>
      <w:proofErr w:type="spellStart"/>
      <w:r w:rsidRPr="00A22376">
        <w:rPr>
          <w:rFonts w:ascii="Times New Roman" w:hAnsi="Times New Roman" w:cs="Arial"/>
          <w:sz w:val="24"/>
          <w:szCs w:val="24"/>
        </w:rPr>
        <w:t>Dans</w:t>
      </w:r>
      <w:proofErr w:type="spellEnd"/>
      <w:r w:rsidRPr="00A22376">
        <w:rPr>
          <w:rFonts w:ascii="Times New Roman" w:hAnsi="Times New Roman" w:cs="Arial"/>
          <w:sz w:val="24"/>
          <w:szCs w:val="24"/>
        </w:rPr>
        <w:t xml:space="preserve"> E.B. </w:t>
      </w:r>
      <w:proofErr w:type="spellStart"/>
      <w:r w:rsidRPr="00A22376">
        <w:rPr>
          <w:rFonts w:ascii="Times New Roman" w:hAnsi="Times New Roman" w:cs="Arial"/>
          <w:sz w:val="24"/>
          <w:szCs w:val="24"/>
        </w:rPr>
        <w:t>Crepeau</w:t>
      </w:r>
      <w:proofErr w:type="spellEnd"/>
      <w:r w:rsidRPr="00A22376">
        <w:rPr>
          <w:rFonts w:ascii="Times New Roman" w:hAnsi="Times New Roman" w:cs="Arial"/>
          <w:sz w:val="24"/>
          <w:szCs w:val="24"/>
        </w:rPr>
        <w:t xml:space="preserve">, E.S. Cohn, et B.A.B. Schell, </w:t>
      </w:r>
      <w:r w:rsidRPr="00A22376">
        <w:rPr>
          <w:rFonts w:ascii="Times New Roman" w:hAnsi="Times New Roman" w:cs="Arial"/>
          <w:i/>
          <w:sz w:val="24"/>
          <w:szCs w:val="24"/>
        </w:rPr>
        <w:t xml:space="preserve">Willard &amp; </w:t>
      </w:r>
      <w:proofErr w:type="spellStart"/>
      <w:r w:rsidRPr="00A22376">
        <w:rPr>
          <w:rFonts w:ascii="Times New Roman" w:hAnsi="Times New Roman" w:cs="Arial"/>
          <w:i/>
          <w:sz w:val="24"/>
          <w:szCs w:val="24"/>
        </w:rPr>
        <w:t>Spackmnan’s</w:t>
      </w:r>
      <w:proofErr w:type="spellEnd"/>
      <w:r w:rsidRPr="00A22376">
        <w:rPr>
          <w:rFonts w:ascii="Times New Roman" w:hAnsi="Times New Roman" w:cs="Arial"/>
          <w:i/>
          <w:sz w:val="24"/>
          <w:szCs w:val="24"/>
        </w:rPr>
        <w:t xml:space="preserve"> Occupational Therapy</w:t>
      </w:r>
      <w:r w:rsidRPr="00A22376">
        <w:rPr>
          <w:rFonts w:ascii="Times New Roman" w:hAnsi="Times New Roman" w:cs="Arial"/>
          <w:sz w:val="24"/>
          <w:szCs w:val="24"/>
        </w:rPr>
        <w:t xml:space="preserve"> (11</w:t>
      </w:r>
      <w:r w:rsidRPr="00A22376">
        <w:rPr>
          <w:rFonts w:ascii="Times New Roman" w:hAnsi="Times New Roman" w:cs="Arial"/>
          <w:sz w:val="24"/>
          <w:szCs w:val="24"/>
          <w:vertAlign w:val="superscript"/>
        </w:rPr>
        <w:t>e</w:t>
      </w:r>
      <w:r w:rsidRPr="00A22376">
        <w:rPr>
          <w:rFonts w:ascii="Times New Roman" w:hAnsi="Times New Roman" w:cs="Arial"/>
          <w:sz w:val="24"/>
          <w:szCs w:val="24"/>
        </w:rPr>
        <w:t xml:space="preserve"> </w:t>
      </w:r>
      <w:proofErr w:type="spellStart"/>
      <w:r w:rsidRPr="00A22376">
        <w:rPr>
          <w:rFonts w:ascii="Times New Roman" w:hAnsi="Times New Roman" w:cs="Arial"/>
          <w:sz w:val="24"/>
          <w:szCs w:val="24"/>
        </w:rPr>
        <w:t>éd</w:t>
      </w:r>
      <w:proofErr w:type="spellEnd"/>
      <w:r w:rsidRPr="00A22376">
        <w:rPr>
          <w:rFonts w:ascii="Times New Roman" w:hAnsi="Times New Roman" w:cs="Arial"/>
          <w:sz w:val="24"/>
          <w:szCs w:val="24"/>
        </w:rPr>
        <w:t xml:space="preserve">., 1191 p.). Philadelphia : Lippincott Williams &amp; Wilkins, a </w:t>
      </w:r>
      <w:proofErr w:type="spellStart"/>
      <w:r w:rsidRPr="00A22376">
        <w:rPr>
          <w:rFonts w:ascii="Times New Roman" w:hAnsi="Times New Roman" w:cs="Arial"/>
          <w:sz w:val="24"/>
          <w:szCs w:val="24"/>
        </w:rPr>
        <w:t>Wolters</w:t>
      </w:r>
      <w:proofErr w:type="spellEnd"/>
      <w:r w:rsidRPr="00A22376">
        <w:rPr>
          <w:rFonts w:ascii="Times New Roman" w:hAnsi="Times New Roman" w:cs="Arial"/>
          <w:sz w:val="24"/>
          <w:szCs w:val="24"/>
        </w:rPr>
        <w:t xml:space="preserve"> </w:t>
      </w:r>
      <w:proofErr w:type="spellStart"/>
      <w:r w:rsidRPr="00A22376">
        <w:rPr>
          <w:rFonts w:ascii="Times New Roman" w:hAnsi="Times New Roman" w:cs="Arial"/>
          <w:sz w:val="24"/>
          <w:szCs w:val="24"/>
        </w:rPr>
        <w:t>Kluwer</w:t>
      </w:r>
      <w:proofErr w:type="spellEnd"/>
      <w:r w:rsidRPr="00A22376">
        <w:rPr>
          <w:rFonts w:ascii="Times New Roman" w:hAnsi="Times New Roman" w:cs="Arial"/>
          <w:sz w:val="24"/>
          <w:szCs w:val="24"/>
        </w:rPr>
        <w:t xml:space="preserve"> business.</w:t>
      </w:r>
    </w:p>
    <w:p w:rsidR="007A45C5" w:rsidRPr="00A22376" w:rsidRDefault="007A45C5" w:rsidP="000B55D7">
      <w:pPr>
        <w:spacing w:line="480" w:lineRule="auto"/>
        <w:rPr>
          <w:rFonts w:ascii="Times New Roman" w:hAnsi="Times New Roman" w:cs="Arial"/>
          <w:sz w:val="24"/>
          <w:szCs w:val="24"/>
          <w:lang w:val="fr-CA"/>
        </w:rPr>
      </w:pPr>
      <w:proofErr w:type="spellStart"/>
      <w:r w:rsidRPr="00A22376">
        <w:rPr>
          <w:rFonts w:ascii="Times New Roman" w:hAnsi="Times New Roman" w:cs="Arial"/>
          <w:sz w:val="24"/>
          <w:szCs w:val="24"/>
        </w:rPr>
        <w:t>Fougeyrollas</w:t>
      </w:r>
      <w:proofErr w:type="spellEnd"/>
      <w:r w:rsidRPr="00A22376">
        <w:rPr>
          <w:rFonts w:ascii="Times New Roman" w:hAnsi="Times New Roman" w:cs="Arial"/>
          <w:sz w:val="24"/>
          <w:szCs w:val="24"/>
        </w:rPr>
        <w:t xml:space="preserve">, Patrick. </w:t>
      </w:r>
      <w:r w:rsidRPr="00A22376">
        <w:rPr>
          <w:rFonts w:ascii="Times New Roman" w:hAnsi="Times New Roman" w:cs="Arial"/>
          <w:sz w:val="24"/>
          <w:szCs w:val="24"/>
          <w:lang w:val="fr-CA"/>
        </w:rPr>
        <w:t xml:space="preserve">(2010). </w:t>
      </w:r>
      <w:r w:rsidRPr="00A22376">
        <w:rPr>
          <w:rFonts w:ascii="Times New Roman" w:eastAsia="Times New Roman" w:hAnsi="Times New Roman" w:cs="Arial"/>
          <w:i/>
          <w:sz w:val="24"/>
          <w:szCs w:val="24"/>
          <w:lang w:val="fr-CA" w:eastAsia="en-CA"/>
        </w:rPr>
        <w:t>La funambule, le fil et la toile : transformations réciproques du sens du handicap</w:t>
      </w:r>
      <w:r w:rsidRPr="00A22376">
        <w:rPr>
          <w:rFonts w:ascii="Times New Roman" w:eastAsia="Times New Roman" w:hAnsi="Times New Roman" w:cs="Arial"/>
          <w:sz w:val="24"/>
          <w:szCs w:val="24"/>
          <w:lang w:val="fr-CA" w:eastAsia="en-CA"/>
        </w:rPr>
        <w:t>. Québec : Presse de l’Université Laval.</w:t>
      </w:r>
    </w:p>
    <w:p w:rsidR="0036278B" w:rsidRPr="00A22376" w:rsidRDefault="0036278B" w:rsidP="000B55D7">
      <w:pPr>
        <w:spacing w:line="480" w:lineRule="auto"/>
        <w:rPr>
          <w:rFonts w:ascii="Times New Roman" w:hAnsi="Times New Roman"/>
        </w:rPr>
      </w:pPr>
    </w:p>
    <w:sectPr w:rsidR="0036278B" w:rsidRPr="00A22376" w:rsidSect="0036278B">
      <w:headerReference w:type="default" r:id="rId4"/>
      <w:footerReference w:type="even" r:id="rId5"/>
      <w:footerReference w:type="default" r:id="rId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24" w:rsidRDefault="000F4324" w:rsidP="0047545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F4324" w:rsidRDefault="000F4324" w:rsidP="000F4324">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24" w:rsidRDefault="000F4324" w:rsidP="0047545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F4324" w:rsidRDefault="000F4324" w:rsidP="000F4324">
    <w:pPr>
      <w:pStyle w:val="Pieddepage"/>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D7" w:rsidRDefault="000B55D7" w:rsidP="000B55D7">
    <w:pPr>
      <w:pStyle w:val="En-tte"/>
      <w:spacing w:line="48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rsids>
    <w:rsidRoot w:val="007A45C5"/>
    <w:rsid w:val="000B55D7"/>
    <w:rsid w:val="000F4324"/>
    <w:rsid w:val="0036278B"/>
    <w:rsid w:val="005C0AFE"/>
    <w:rsid w:val="007A45C5"/>
    <w:rsid w:val="00A22376"/>
    <w:rsid w:val="00AE241F"/>
    <w:rsid w:val="00D3175E"/>
  </w:rsids>
  <m:mathPr>
    <m:mathFont m:val="Impact"/>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5C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semiHidden/>
    <w:unhideWhenUsed/>
    <w:rsid w:val="000B55D7"/>
    <w:pPr>
      <w:tabs>
        <w:tab w:val="center" w:pos="4703"/>
        <w:tab w:val="right" w:pos="9406"/>
      </w:tabs>
      <w:spacing w:after="0" w:line="240" w:lineRule="auto"/>
    </w:pPr>
  </w:style>
  <w:style w:type="character" w:customStyle="1" w:styleId="En-tteCar">
    <w:name w:val="En-tête Car"/>
    <w:basedOn w:val="Policepardfaut"/>
    <w:link w:val="En-tte"/>
    <w:uiPriority w:val="99"/>
    <w:semiHidden/>
    <w:rsid w:val="000B55D7"/>
  </w:style>
  <w:style w:type="paragraph" w:styleId="Pieddepage">
    <w:name w:val="footer"/>
    <w:basedOn w:val="Normal"/>
    <w:link w:val="PieddepageCar"/>
    <w:uiPriority w:val="99"/>
    <w:semiHidden/>
    <w:unhideWhenUsed/>
    <w:rsid w:val="000B55D7"/>
    <w:pPr>
      <w:tabs>
        <w:tab w:val="center" w:pos="4703"/>
        <w:tab w:val="right" w:pos="9406"/>
      </w:tabs>
      <w:spacing w:after="0" w:line="240" w:lineRule="auto"/>
    </w:pPr>
  </w:style>
  <w:style w:type="character" w:customStyle="1" w:styleId="PieddepageCar">
    <w:name w:val="Pied de page Car"/>
    <w:basedOn w:val="Policepardfaut"/>
    <w:link w:val="Pieddepage"/>
    <w:uiPriority w:val="99"/>
    <w:semiHidden/>
    <w:rsid w:val="000B55D7"/>
  </w:style>
  <w:style w:type="character" w:styleId="Numrodepage">
    <w:name w:val="page number"/>
    <w:basedOn w:val="Policepardfaut"/>
    <w:uiPriority w:val="99"/>
    <w:semiHidden/>
    <w:unhideWhenUsed/>
    <w:rsid w:val="000F432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612</Words>
  <Characters>3493</Characters>
  <Application>Microsoft Macintosh Word</Application>
  <DocSecurity>0</DocSecurity>
  <Lines>29</Lines>
  <Paragraphs>6</Paragraphs>
  <ScaleCrop>false</ScaleCrop>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Nadine Arseneau</cp:lastModifiedBy>
  <cp:revision>4</cp:revision>
  <dcterms:created xsi:type="dcterms:W3CDTF">2012-12-23T02:01:00Z</dcterms:created>
  <dcterms:modified xsi:type="dcterms:W3CDTF">2012-12-23T16:53:00Z</dcterms:modified>
</cp:coreProperties>
</file>