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4EA" w:rsidRPr="008747F9" w:rsidRDefault="00BE64EA" w:rsidP="00BE64EA">
      <w:pPr>
        <w:pStyle w:val="texto"/>
        <w:spacing w:after="0" w:line="240" w:lineRule="auto"/>
        <w:ind w:firstLine="0"/>
        <w:jc w:val="center"/>
        <w:rPr>
          <w:rFonts w:cs="Arial"/>
          <w:b/>
          <w:sz w:val="22"/>
          <w:szCs w:val="22"/>
        </w:rPr>
      </w:pPr>
      <w:r w:rsidRPr="008747F9">
        <w:rPr>
          <w:rFonts w:cs="Arial"/>
          <w:b/>
          <w:sz w:val="22"/>
          <w:szCs w:val="22"/>
        </w:rPr>
        <w:t>Capítulo II</w:t>
      </w:r>
    </w:p>
    <w:p w:rsidR="00BE64EA" w:rsidRPr="008747F9" w:rsidRDefault="00BE64EA" w:rsidP="00BE64EA">
      <w:pPr>
        <w:pStyle w:val="Texto0"/>
        <w:spacing w:after="0" w:line="240" w:lineRule="auto"/>
        <w:ind w:firstLine="0"/>
        <w:jc w:val="center"/>
        <w:rPr>
          <w:b/>
          <w:sz w:val="22"/>
          <w:szCs w:val="22"/>
        </w:rPr>
      </w:pPr>
      <w:r w:rsidRPr="008747F9">
        <w:rPr>
          <w:b/>
          <w:sz w:val="22"/>
          <w:szCs w:val="22"/>
        </w:rPr>
        <w:t>Del Instituto</w:t>
      </w:r>
    </w:p>
    <w:p w:rsidR="00BE64EA" w:rsidRDefault="00BE64EA" w:rsidP="00BE64EA">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Denominación del Capítulo reformada DOF 05-07-2010</w:t>
      </w:r>
    </w:p>
    <w:p w:rsidR="00BE64EA" w:rsidRDefault="00BE64EA" w:rsidP="00BE64EA">
      <w:pPr>
        <w:pStyle w:val="texto"/>
        <w:spacing w:after="0" w:line="240" w:lineRule="auto"/>
        <w:ind w:firstLine="0"/>
        <w:jc w:val="center"/>
        <w:rPr>
          <w:rFonts w:cs="Arial"/>
          <w:sz w:val="20"/>
        </w:rPr>
      </w:pPr>
    </w:p>
    <w:p w:rsidR="00BE64EA" w:rsidRPr="00247ED4" w:rsidRDefault="00BE64EA" w:rsidP="00BE64EA">
      <w:pPr>
        <w:pStyle w:val="Texto0"/>
        <w:spacing w:after="0" w:line="240" w:lineRule="auto"/>
        <w:rPr>
          <w:sz w:val="20"/>
          <w:szCs w:val="20"/>
        </w:rPr>
      </w:pPr>
      <w:r w:rsidRPr="008747F9">
        <w:rPr>
          <w:b/>
          <w:sz w:val="20"/>
          <w:szCs w:val="20"/>
        </w:rPr>
        <w:t>Artículo 33.</w:t>
      </w:r>
      <w:r w:rsidRPr="00247ED4">
        <w:rPr>
          <w:sz w:val="20"/>
          <w:szCs w:val="20"/>
        </w:rPr>
        <w:t xml:space="preserve"> El Instituto es un órgano de </w:t>
      </w:r>
      <w:smartTag w:uri="urn:schemas-microsoft-com:office:smarttags" w:element="PersonName">
        <w:smartTagPr>
          <w:attr w:name="ProductID" w:val="la Administraci￳n P￺blica"/>
        </w:smartTagPr>
        <w:r w:rsidRPr="00247ED4">
          <w:rPr>
            <w:sz w:val="20"/>
            <w:szCs w:val="20"/>
          </w:rPr>
          <w:t>la Administración Pública</w:t>
        </w:r>
      </w:smartTag>
      <w:r w:rsidRPr="00247ED4">
        <w:rPr>
          <w:sz w:val="20"/>
          <w:szCs w:val="20"/>
        </w:rPr>
        <w:t xml:space="preserve"> Federal, con autonomía operativa, presupuestaria y de decisión, encargado de promover y difundir el ejercicio del derecho a la información; resolver sobre la negativa a las solicitudes de acceso a la información y proteger los datos personales en poder de las dependencias y entidades.</w:t>
      </w:r>
    </w:p>
    <w:p w:rsidR="00BE64EA" w:rsidRDefault="00BE64EA" w:rsidP="00BE64EA">
      <w:pPr>
        <w:pStyle w:val="Textosinformato"/>
        <w:ind w:firstLine="708"/>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Artículo reformado DOF 05-07-2010</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Artículo 34.</w:t>
      </w:r>
      <w:r>
        <w:rPr>
          <w:rFonts w:cs="Arial"/>
          <w:sz w:val="20"/>
        </w:rPr>
        <w:t xml:space="preserve"> El Instituto estará integrado por cinco comisionados, quienes serán nombrados por el Ejecutivo Federal. La Cámara de Senadores podrá objetar dichos nombramientos por mayoría, y cuando se encuentre en receso por la Comisión Permanente, con la misma votación. En todo caso, la instancia legislativa tendrá treinta días para resolver, vencido este plazo sin que se emita resolución al respecto, se entenderá como no objetado el nombramiento del Ejecutivo Federal.</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sz w:val="20"/>
        </w:rPr>
        <w:t>Los comisionados sólo podrán ser removidos de sus funciones cuando transgredan en forma grave o reiterada las disposiciones contenidas en la Constitución y esta Ley, cuando por actos u omisiones se afecten las atribuciones del Instituto, o cuando hayan sido sentenciados por un delito grave que merezca pena corporal.</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sz w:val="20"/>
        </w:rPr>
        <w:t>Durarán en su encargo siete años, sin posibilidad de reelección, y durante el mismo no podrán tener ningún otro empleo, cargo o comisión, salvo en instituciones docentes, científicas o de beneficencia.</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sz w:val="20"/>
        </w:rPr>
        <w:t>El Instituto, para efectos de sus resoluciones, no estará subordinado a autoridad alguna, adoptará sus decisiones con plena independencia y contará con los recursos humanos y materiales necesarios para el desempeño de sus funciones.</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Artículo 35.</w:t>
      </w:r>
      <w:r>
        <w:rPr>
          <w:rFonts w:cs="Arial"/>
          <w:sz w:val="20"/>
        </w:rPr>
        <w:t xml:space="preserve"> Para ser Comisionado se requiere:</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I.</w:t>
      </w:r>
      <w:r>
        <w:rPr>
          <w:rFonts w:cs="Arial"/>
          <w:sz w:val="20"/>
        </w:rPr>
        <w:t xml:space="preserve"> Ser ciudadano mexicano;</w:t>
      </w:r>
    </w:p>
    <w:p w:rsidR="00BE64EA" w:rsidRDefault="00BE64EA" w:rsidP="00BE64EA">
      <w:pPr>
        <w:pStyle w:val="texto"/>
        <w:spacing w:after="0" w:line="240" w:lineRule="auto"/>
        <w:rPr>
          <w:rFonts w:cs="Arial"/>
          <w:b/>
          <w:sz w:val="20"/>
        </w:rPr>
      </w:pPr>
    </w:p>
    <w:p w:rsidR="00BE64EA" w:rsidRDefault="00BE64EA" w:rsidP="00BE64EA">
      <w:pPr>
        <w:pStyle w:val="texto"/>
        <w:spacing w:after="0" w:line="240" w:lineRule="auto"/>
        <w:rPr>
          <w:rFonts w:cs="Arial"/>
          <w:sz w:val="20"/>
        </w:rPr>
      </w:pPr>
      <w:r>
        <w:rPr>
          <w:rFonts w:cs="Arial"/>
          <w:b/>
          <w:sz w:val="20"/>
        </w:rPr>
        <w:t>II.</w:t>
      </w:r>
      <w:r>
        <w:rPr>
          <w:rFonts w:cs="Arial"/>
          <w:sz w:val="20"/>
        </w:rPr>
        <w:t xml:space="preserve"> No haber sido condenado por la comisión de algún delito doloso;</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III.</w:t>
      </w:r>
      <w:r>
        <w:rPr>
          <w:rFonts w:cs="Arial"/>
          <w:sz w:val="20"/>
        </w:rPr>
        <w:t xml:space="preserve"> Tener cuando menos, treinta y cinco años de edad el día de su designación;</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IV.</w:t>
      </w:r>
      <w:r>
        <w:rPr>
          <w:rFonts w:cs="Arial"/>
          <w:sz w:val="20"/>
        </w:rPr>
        <w:t xml:space="preserve"> Haberse desempeñado destacadamente en actividades profesionales, de servicio público o académicas, relacionadas con la materia de esta Ley, y</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V.</w:t>
      </w:r>
      <w:r>
        <w:rPr>
          <w:rFonts w:cs="Arial"/>
          <w:sz w:val="20"/>
        </w:rPr>
        <w:t xml:space="preserve"> No haber sido Secretario de Estado, Jefe de departamento administrativo, Procurador General de la República, Senador, Diputado Federal o Local, dirigente de un partido o asociación política, Gobernador de algún Estado o Jefe de Gobierno del Distrito Federal, durante el año previo al día de su nombramiento.</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Artículo 36.</w:t>
      </w:r>
      <w:r>
        <w:rPr>
          <w:rFonts w:cs="Arial"/>
          <w:sz w:val="20"/>
        </w:rPr>
        <w:t xml:space="preserve"> El Instituto será presidido por un Comisionado, quien tendrá la representación </w:t>
      </w:r>
      <w:proofErr w:type="gramStart"/>
      <w:r>
        <w:rPr>
          <w:rFonts w:cs="Arial"/>
          <w:sz w:val="20"/>
        </w:rPr>
        <w:t>legal</w:t>
      </w:r>
      <w:proofErr w:type="gramEnd"/>
      <w:r>
        <w:rPr>
          <w:rFonts w:cs="Arial"/>
          <w:sz w:val="20"/>
        </w:rPr>
        <w:t xml:space="preserve"> del mismo. Durará en su encargo un periodo de dos años, renovable por una ocasión, y será elegido por los comisionados.</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Artículo 37.</w:t>
      </w:r>
      <w:r>
        <w:rPr>
          <w:rFonts w:cs="Arial"/>
          <w:sz w:val="20"/>
        </w:rPr>
        <w:t xml:space="preserve"> El Instituto tendrá las siguientes atribuciones:</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I.</w:t>
      </w:r>
      <w:r>
        <w:rPr>
          <w:rFonts w:cs="Arial"/>
          <w:sz w:val="20"/>
        </w:rPr>
        <w:t xml:space="preserve"> Interpretar en el orden administrativo esta Ley, de conformidad con el Artículo 6;</w:t>
      </w:r>
    </w:p>
    <w:p w:rsidR="00BE64EA" w:rsidRDefault="00BE64EA" w:rsidP="00BE64EA">
      <w:pPr>
        <w:pStyle w:val="texto"/>
        <w:spacing w:after="0" w:line="240" w:lineRule="auto"/>
        <w:rPr>
          <w:rFonts w:cs="Arial"/>
          <w:b/>
          <w:sz w:val="20"/>
        </w:rPr>
      </w:pPr>
    </w:p>
    <w:p w:rsidR="00BE64EA" w:rsidRDefault="00BE64EA" w:rsidP="00BE64EA">
      <w:pPr>
        <w:pStyle w:val="texto"/>
        <w:spacing w:after="0" w:line="240" w:lineRule="auto"/>
        <w:rPr>
          <w:rFonts w:cs="Arial"/>
          <w:sz w:val="20"/>
        </w:rPr>
      </w:pPr>
      <w:r>
        <w:rPr>
          <w:rFonts w:cs="Arial"/>
          <w:b/>
          <w:sz w:val="20"/>
        </w:rPr>
        <w:t>II.</w:t>
      </w:r>
      <w:r>
        <w:rPr>
          <w:rFonts w:cs="Arial"/>
          <w:sz w:val="20"/>
        </w:rPr>
        <w:t xml:space="preserve"> Conocer y resolver los recursos de revisión interpuestos por los solicitantes;</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III.</w:t>
      </w:r>
      <w:r>
        <w:rPr>
          <w:rFonts w:cs="Arial"/>
          <w:sz w:val="20"/>
        </w:rPr>
        <w:t xml:space="preserve"> Establecer y revisar los criterios de clasificación, desclasificación y custodia de la información reservada y confidencial;</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lastRenderedPageBreak/>
        <w:t>IV.</w:t>
      </w:r>
      <w:r>
        <w:rPr>
          <w:rFonts w:cs="Arial"/>
          <w:sz w:val="20"/>
        </w:rPr>
        <w:t xml:space="preserve"> Coadyuvar con el Archivo General de la Nación en la elaboración y aplicación de los criterios para la catalogación y conservación de los documentos, así como la organización de archivos de las dependencias y entidades;</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V.</w:t>
      </w:r>
      <w:r>
        <w:rPr>
          <w:rFonts w:cs="Arial"/>
          <w:sz w:val="20"/>
        </w:rPr>
        <w:t xml:space="preserve"> Vigilar y, en caso de incumplimiento, hacer las recomendaciones a las dependencias y entidades para que se dé cumplimiento a lo dispuesto en el Artículo 7;</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VI.</w:t>
      </w:r>
      <w:r>
        <w:rPr>
          <w:rFonts w:cs="Arial"/>
          <w:sz w:val="20"/>
        </w:rPr>
        <w:t xml:space="preserve"> Orientar y asesorar a los particulares acerca de las solicitudes de acceso a la información;</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VII.</w:t>
      </w:r>
      <w:r>
        <w:rPr>
          <w:rFonts w:cs="Arial"/>
          <w:sz w:val="20"/>
        </w:rPr>
        <w:t xml:space="preserve"> Proporcionar apoyo técnico a las dependencias y entidades en la elaboración y ejecución de sus programas de información establecidos en la fracción VI del Artículo 29;</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VIII.</w:t>
      </w:r>
      <w:r>
        <w:rPr>
          <w:rFonts w:cs="Arial"/>
          <w:sz w:val="20"/>
        </w:rPr>
        <w:t xml:space="preserve"> Elaborar los formatos de solicitudes de acceso a la información, así como </w:t>
      </w:r>
      <w:proofErr w:type="gramStart"/>
      <w:r>
        <w:rPr>
          <w:rFonts w:cs="Arial"/>
          <w:sz w:val="20"/>
        </w:rPr>
        <w:t>los de acceso</w:t>
      </w:r>
      <w:proofErr w:type="gramEnd"/>
      <w:r>
        <w:rPr>
          <w:rFonts w:cs="Arial"/>
          <w:sz w:val="20"/>
        </w:rPr>
        <w:t xml:space="preserve"> y corrección de datos personales;</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IX.</w:t>
      </w:r>
      <w:r>
        <w:rPr>
          <w:rFonts w:cs="Arial"/>
          <w:sz w:val="20"/>
        </w:rPr>
        <w:t xml:space="preserve"> Establecer los lineamientos y políticas generales para el manejo, mantenimiento, seguridad y protección de los datos personales, que estén en posesión de las dependencias y entidades;</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X.</w:t>
      </w:r>
      <w:r>
        <w:rPr>
          <w:rFonts w:cs="Arial"/>
          <w:sz w:val="20"/>
        </w:rPr>
        <w:t xml:space="preserve"> Hacer del conocimiento del órgano interno de control de cada dependencia y entidad, de conformidad con el último párrafo del Artículo 56, las presuntas infracciones a esta Ley y su Reglamento. Las resoluciones finales que al respecto expidan los órganos internos de control y que hayan causado estado deberán ser notificadas al Instituto, quien deberá hacerlas públicas a través de su informe anual;</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XI.</w:t>
      </w:r>
      <w:r>
        <w:rPr>
          <w:rFonts w:cs="Arial"/>
          <w:sz w:val="20"/>
        </w:rPr>
        <w:t xml:space="preserve"> Elaborar la guía a que se refiere el Artículo 38;</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XII.</w:t>
      </w:r>
      <w:r>
        <w:rPr>
          <w:rFonts w:cs="Arial"/>
          <w:sz w:val="20"/>
        </w:rPr>
        <w:t xml:space="preserve"> Promover y, en su caso, ejecutar la capacitación de los servidores públicos en materia de acceso a la información y protección de datos personales;</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XIII.</w:t>
      </w:r>
      <w:r>
        <w:rPr>
          <w:rFonts w:cs="Arial"/>
          <w:sz w:val="20"/>
        </w:rPr>
        <w:t xml:space="preserve"> Difundir entre los servidores públicos y los particulares, los beneficios del manejo público de la información, como también sus responsabilidades en el buen uso y conservación de aquélla;</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XIV.</w:t>
      </w:r>
      <w:r>
        <w:rPr>
          <w:rFonts w:cs="Arial"/>
          <w:sz w:val="20"/>
        </w:rPr>
        <w:t xml:space="preserve"> Elaborar y publicar estudios e investigaciones para difundir y ampliar el conocimiento sobre la materia de esta Ley;</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XV.</w:t>
      </w:r>
      <w:r>
        <w:rPr>
          <w:rFonts w:cs="Arial"/>
          <w:sz w:val="20"/>
        </w:rPr>
        <w:t xml:space="preserve"> Cooperar respecto de la materia de esta Ley, con los demás sujetos obligados, las entidades federativas, los municipios, o sus órganos de acceso a la información, mediante la celebración de acuerdos o programas;</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XVI.</w:t>
      </w:r>
      <w:r>
        <w:rPr>
          <w:rFonts w:cs="Arial"/>
          <w:sz w:val="20"/>
        </w:rPr>
        <w:t xml:space="preserve"> Elaborar su Reglamento Interior y demás normas de operación;</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XVII.</w:t>
      </w:r>
      <w:r>
        <w:rPr>
          <w:rFonts w:cs="Arial"/>
          <w:sz w:val="20"/>
        </w:rPr>
        <w:t xml:space="preserve"> Designar a los servidores públicos a su cargo;</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XVIII.</w:t>
      </w:r>
      <w:r>
        <w:rPr>
          <w:rFonts w:cs="Arial"/>
          <w:sz w:val="20"/>
        </w:rPr>
        <w:t xml:space="preserve"> Preparar su proyecto de presupuesto anual, el cual será enviado a la Secretaría de Hacienda y Crédito Público para que lo integre al Presupuesto de Egresos de la Federación, y</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XIX.</w:t>
      </w:r>
      <w:r>
        <w:rPr>
          <w:rFonts w:cs="Arial"/>
          <w:sz w:val="20"/>
        </w:rPr>
        <w:t xml:space="preserve"> Las demás que le confieran esta Ley, su Reglamento y cualquier otra disposición aplicable.</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Artículo 38.</w:t>
      </w:r>
      <w:r>
        <w:rPr>
          <w:rFonts w:cs="Arial"/>
          <w:sz w:val="20"/>
        </w:rPr>
        <w:t xml:space="preserve"> El Instituto elaborará una guía que describirá, de manera clara y sencilla, los procedimientos de acceso a la información de las dependencias y entidades.</w:t>
      </w:r>
    </w:p>
    <w:p w:rsidR="00BE64EA" w:rsidRDefault="00BE64EA" w:rsidP="00BE64EA">
      <w:pPr>
        <w:pStyle w:val="texto"/>
        <w:spacing w:after="0" w:line="240" w:lineRule="auto"/>
        <w:rPr>
          <w:rFonts w:cs="Arial"/>
          <w:sz w:val="20"/>
        </w:rPr>
      </w:pPr>
    </w:p>
    <w:p w:rsidR="00BE64EA" w:rsidRDefault="00BE64EA" w:rsidP="00BE64EA">
      <w:pPr>
        <w:pStyle w:val="texto"/>
        <w:spacing w:after="0" w:line="240" w:lineRule="auto"/>
        <w:rPr>
          <w:rFonts w:cs="Arial"/>
          <w:sz w:val="20"/>
        </w:rPr>
      </w:pPr>
      <w:r>
        <w:rPr>
          <w:rFonts w:cs="Arial"/>
          <w:b/>
          <w:sz w:val="20"/>
        </w:rPr>
        <w:t>Artículo 39.</w:t>
      </w:r>
      <w:r>
        <w:rPr>
          <w:rFonts w:cs="Arial"/>
          <w:sz w:val="20"/>
        </w:rPr>
        <w:t xml:space="preserve"> El Instituto rendirá anualmente un informe público al H. Congreso de la Unión sobre el acceso a la información, con base en los datos que le rindan las dependencias y entidades según lo señala el Artículo 29 fracción VII, en el cual se incluirá, al menos, el número de solicitudes de acceso a la información presentadas ante cada dependencia y entidad así como su resultado; su tiempo de respuesta; el número y resultado de los asuntos atendidos por </w:t>
      </w:r>
      <w:r>
        <w:rPr>
          <w:rFonts w:cs="Arial"/>
          <w:sz w:val="20"/>
        </w:rPr>
        <w:lastRenderedPageBreak/>
        <w:t>el Instituto; el estado que guardan las denuncias presentadas ante los órganos internos de control y las dificultades observadas en el cumplimiento de la Ley. Para este efecto, el Instituto expedirá los lineamientos que considere necesarios.</w:t>
      </w:r>
    </w:p>
    <w:p w:rsidR="00C16F50" w:rsidRPr="00BE64EA" w:rsidRDefault="00BE64EA">
      <w:pPr>
        <w:rPr>
          <w:lang w:val="es-ES_tradnl"/>
        </w:rPr>
      </w:pPr>
    </w:p>
    <w:sectPr w:rsidR="00C16F50" w:rsidRPr="00BE64EA" w:rsidSect="009737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64EA"/>
    <w:rsid w:val="005527C8"/>
    <w:rsid w:val="00973717"/>
    <w:rsid w:val="00BE64EA"/>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BE64EA"/>
    <w:pPr>
      <w:spacing w:after="101" w:line="216" w:lineRule="atLeast"/>
      <w:ind w:firstLine="288"/>
      <w:jc w:val="both"/>
    </w:pPr>
    <w:rPr>
      <w:rFonts w:ascii="Arial" w:eastAsia="Times New Roman" w:hAnsi="Arial" w:cs="Times New Roman"/>
      <w:sz w:val="18"/>
      <w:szCs w:val="20"/>
      <w:lang w:val="es-ES_tradnl" w:eastAsia="es-ES"/>
    </w:rPr>
  </w:style>
  <w:style w:type="paragraph" w:styleId="Textosinformato">
    <w:name w:val="Plain Text"/>
    <w:basedOn w:val="Normal"/>
    <w:link w:val="TextosinformatoCar"/>
    <w:rsid w:val="00BE64EA"/>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BE64EA"/>
    <w:rPr>
      <w:rFonts w:ascii="Courier New" w:eastAsia="Times New Roman" w:hAnsi="Courier New" w:cs="Courier New"/>
      <w:sz w:val="20"/>
      <w:szCs w:val="20"/>
      <w:lang w:eastAsia="es-ES"/>
    </w:rPr>
  </w:style>
  <w:style w:type="paragraph" w:customStyle="1" w:styleId="Texto0">
    <w:name w:val="Texto"/>
    <w:basedOn w:val="Normal"/>
    <w:rsid w:val="00BE64EA"/>
    <w:pPr>
      <w:spacing w:after="101" w:line="216" w:lineRule="exact"/>
      <w:ind w:firstLine="288"/>
      <w:jc w:val="both"/>
    </w:pPr>
    <w:rPr>
      <w:rFonts w:ascii="Arial" w:eastAsia="Times New Roman" w:hAnsi="Arial" w:cs="Arial"/>
      <w:sz w:val="18"/>
      <w:szCs w:val="18"/>
      <w:lang w:val="es-MX"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5388</Characters>
  <Application>Microsoft Office Word</Application>
  <DocSecurity>0</DocSecurity>
  <Lines>44</Lines>
  <Paragraphs>12</Paragraphs>
  <ScaleCrop>false</ScaleCrop>
  <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2012-12-18T22:21:00Z</dcterms:created>
  <dcterms:modified xsi:type="dcterms:W3CDTF">2012-12-18T22:21:00Z</dcterms:modified>
</cp:coreProperties>
</file>