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CA" w:rsidRDefault="00A424CA" w:rsidP="00A424CA">
      <w:pPr>
        <w:pStyle w:val="texto"/>
        <w:spacing w:after="0" w:line="240" w:lineRule="auto"/>
        <w:ind w:firstLine="0"/>
        <w:jc w:val="center"/>
        <w:rPr>
          <w:rFonts w:cs="Arial"/>
          <w:b/>
          <w:sz w:val="22"/>
        </w:rPr>
      </w:pPr>
      <w:r>
        <w:rPr>
          <w:rFonts w:cs="Arial"/>
          <w:b/>
          <w:sz w:val="22"/>
        </w:rPr>
        <w:t>Capítulo II</w:t>
      </w:r>
    </w:p>
    <w:p w:rsidR="00A424CA" w:rsidRDefault="00A424CA" w:rsidP="00A424CA">
      <w:pPr>
        <w:pStyle w:val="texto"/>
        <w:spacing w:after="0" w:line="240" w:lineRule="auto"/>
        <w:ind w:firstLine="0"/>
        <w:jc w:val="center"/>
        <w:rPr>
          <w:rFonts w:cs="Arial"/>
          <w:b/>
          <w:sz w:val="22"/>
        </w:rPr>
      </w:pPr>
      <w:bookmarkStart w:id="0" w:name="_GoBack"/>
      <w:r>
        <w:rPr>
          <w:rFonts w:cs="Arial"/>
          <w:b/>
          <w:sz w:val="22"/>
        </w:rPr>
        <w:t>Obligaciones de transparencia</w:t>
      </w:r>
    </w:p>
    <w:bookmarkEnd w:id="0"/>
    <w:p w:rsidR="00A424CA" w:rsidRDefault="00A424CA" w:rsidP="00A424CA">
      <w:pPr>
        <w:pStyle w:val="texto"/>
        <w:spacing w:after="0" w:line="240" w:lineRule="auto"/>
        <w:ind w:firstLine="0"/>
        <w:jc w:val="center"/>
        <w:rPr>
          <w:rFonts w:cs="Arial"/>
          <w:sz w:val="20"/>
        </w:rPr>
      </w:pPr>
    </w:p>
    <w:p w:rsidR="00A424CA" w:rsidRDefault="00A424CA" w:rsidP="00A424CA">
      <w:pPr>
        <w:pStyle w:val="texto"/>
        <w:spacing w:after="0" w:line="240" w:lineRule="auto"/>
        <w:rPr>
          <w:rFonts w:cs="Arial"/>
          <w:sz w:val="20"/>
        </w:rPr>
      </w:pPr>
      <w:r>
        <w:rPr>
          <w:rFonts w:cs="Arial"/>
          <w:b/>
          <w:sz w:val="20"/>
        </w:rPr>
        <w:t>Artículo 7.</w:t>
      </w:r>
      <w:r>
        <w:rPr>
          <w:rFonts w:cs="Arial"/>
          <w:sz w:val="20"/>
        </w:rPr>
        <w:t xml:space="preserve"> Con excepción de la información reservada o confidencial prevista en esta Ley, los sujetos obligados deberán poner a disposición del público y actualizar, en los términos del Reglamento y los lineamientos que expida el Instituto o la instancia equivalente a que se refiere el Artículo 61, entre otra, la información siguiente:</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I.</w:t>
      </w:r>
      <w:r>
        <w:rPr>
          <w:rFonts w:cs="Arial"/>
          <w:sz w:val="20"/>
        </w:rPr>
        <w:t xml:space="preserve"> Su estructura orgánica;</w:t>
      </w:r>
    </w:p>
    <w:p w:rsidR="00A424CA" w:rsidRDefault="00A424CA" w:rsidP="00A424CA">
      <w:pPr>
        <w:pStyle w:val="texto"/>
        <w:spacing w:after="0" w:line="240" w:lineRule="auto"/>
        <w:rPr>
          <w:rFonts w:cs="Arial"/>
          <w:b/>
          <w:sz w:val="20"/>
        </w:rPr>
      </w:pPr>
    </w:p>
    <w:p w:rsidR="00A424CA" w:rsidRDefault="00A424CA" w:rsidP="00A424CA">
      <w:pPr>
        <w:pStyle w:val="texto"/>
        <w:spacing w:after="0" w:line="240" w:lineRule="auto"/>
        <w:rPr>
          <w:rFonts w:cs="Arial"/>
          <w:sz w:val="20"/>
        </w:rPr>
      </w:pPr>
      <w:r>
        <w:rPr>
          <w:rFonts w:cs="Arial"/>
          <w:b/>
          <w:sz w:val="20"/>
        </w:rPr>
        <w:t>II.</w:t>
      </w:r>
      <w:r>
        <w:rPr>
          <w:rFonts w:cs="Arial"/>
          <w:sz w:val="20"/>
        </w:rPr>
        <w:t xml:space="preserve"> Las facultades de cada unidad administrativa;</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III.</w:t>
      </w:r>
      <w:r>
        <w:rPr>
          <w:rFonts w:cs="Arial"/>
          <w:sz w:val="20"/>
        </w:rPr>
        <w:t xml:space="preserve"> El directorio de servidores públicos, desde el nivel de jefe de departamento o sus equivalentes;</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IV.</w:t>
      </w:r>
      <w:r>
        <w:rPr>
          <w:rFonts w:cs="Arial"/>
          <w:sz w:val="20"/>
        </w:rPr>
        <w:t xml:space="preserve"> La remuneración mensual por puesto, incluso el sistema de compensación, según lo establezcan las disposiciones correspondientes;</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V.</w:t>
      </w:r>
      <w:r>
        <w:rPr>
          <w:rFonts w:cs="Arial"/>
          <w:sz w:val="20"/>
        </w:rPr>
        <w:t xml:space="preserve"> El domicilio de la unidad de enlace, además de la dirección electrónica donde podrán recibirse las solicitudes para obtener la información;</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VI.</w:t>
      </w:r>
      <w:r>
        <w:rPr>
          <w:rFonts w:cs="Arial"/>
          <w:sz w:val="20"/>
        </w:rPr>
        <w:t xml:space="preserve"> Las metas y objetivos de las unidades administrativas de conformidad con sus programas operativos;</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VII.</w:t>
      </w:r>
      <w:r>
        <w:rPr>
          <w:rFonts w:cs="Arial"/>
          <w:sz w:val="20"/>
        </w:rPr>
        <w:t xml:space="preserve"> Los servicios que ofrecen;</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VIII.</w:t>
      </w:r>
      <w:r>
        <w:rPr>
          <w:rFonts w:cs="Arial"/>
          <w:sz w:val="20"/>
        </w:rPr>
        <w:t xml:space="preserve"> Los trámites, requisitos y formatos. En caso de que se encuentren inscritos en el Registro Federal de Trámites y Servicios o en el Registro que para la materia fiscal establezca la Secretaría de Hacienda y Crédito Público, deberán publicarse tal y como se registraron;</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IX.</w:t>
      </w:r>
      <w:r>
        <w:rPr>
          <w:rFonts w:cs="Arial"/>
          <w:sz w:val="20"/>
        </w:rPr>
        <w:t xml:space="preserve"> La información sobre el presupuesto asignado, así como los informes sobre su ejecución, en los términos que establezca el Presupuesto de Egresos de la Federación. En el caso del Ejecutivo Federal, dicha información será proporcionada respecto de cada dependencia y entidad por la Secretaría de Hacienda y Crédito Público, la que además informará sobre la situación económica, las finanzas públicas y la deuda pública, en los términos que establezca el propio presupuesto;</w:t>
      </w:r>
    </w:p>
    <w:p w:rsidR="00A424CA" w:rsidRDefault="00A424CA" w:rsidP="00A424CA">
      <w:pPr>
        <w:pStyle w:val="texto"/>
        <w:spacing w:after="0" w:line="240" w:lineRule="auto"/>
        <w:rPr>
          <w:rFonts w:cs="Arial"/>
          <w:sz w:val="20"/>
        </w:rPr>
      </w:pPr>
    </w:p>
    <w:p w:rsidR="00A424CA" w:rsidRPr="004A0ECF" w:rsidRDefault="00A424CA" w:rsidP="00A424CA">
      <w:pPr>
        <w:pStyle w:val="Texto0"/>
        <w:spacing w:after="0" w:line="240" w:lineRule="auto"/>
        <w:rPr>
          <w:color w:val="000000"/>
          <w:sz w:val="20"/>
        </w:rPr>
      </w:pPr>
      <w:r w:rsidRPr="004A0ECF">
        <w:rPr>
          <w:b/>
          <w:color w:val="000000"/>
          <w:sz w:val="20"/>
        </w:rPr>
        <w:t>X.</w:t>
      </w:r>
      <w:r w:rsidRPr="004A0ECF">
        <w:rPr>
          <w:color w:val="000000"/>
          <w:sz w:val="20"/>
        </w:rPr>
        <w:t xml:space="preserve"> Los resultados de las </w:t>
      </w:r>
      <w:proofErr w:type="spellStart"/>
      <w:r w:rsidRPr="004A0ECF">
        <w:rPr>
          <w:color w:val="000000"/>
          <w:sz w:val="20"/>
        </w:rPr>
        <w:t>auditorias</w:t>
      </w:r>
      <w:proofErr w:type="spellEnd"/>
      <w:r w:rsidRPr="004A0ECF">
        <w:rPr>
          <w:color w:val="000000"/>
          <w:sz w:val="20"/>
        </w:rPr>
        <w:t xml:space="preserve"> al ejercicio presupuestal de cada sujeto obligado que realicen, </w:t>
      </w:r>
      <w:r w:rsidRPr="008425FE">
        <w:rPr>
          <w:color w:val="000000"/>
          <w:sz w:val="20"/>
        </w:rPr>
        <w:t>según corresponda, la Secretaría de la Función Pública, las contralorías internas o la Auditoría Superior</w:t>
      </w:r>
      <w:r w:rsidRPr="004A0ECF">
        <w:rPr>
          <w:color w:val="000000"/>
          <w:sz w:val="20"/>
        </w:rPr>
        <w:t xml:space="preserve"> de la Federación y, en su caso, las aclaraciones que correspondan;</w:t>
      </w:r>
    </w:p>
    <w:p w:rsidR="00A424CA" w:rsidRDefault="00A424CA" w:rsidP="00A424C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 xml:space="preserve">Fracción reformada </w:t>
      </w:r>
      <w:proofErr w:type="spellStart"/>
      <w:r>
        <w:rPr>
          <w:rFonts w:ascii="Times New Roman" w:eastAsia="MS Mincho" w:hAnsi="Times New Roman" w:cs="Times New Roman"/>
          <w:i/>
          <w:iCs/>
          <w:color w:val="0000FF"/>
          <w:sz w:val="16"/>
        </w:rPr>
        <w:t>DOF</w:t>
      </w:r>
      <w:proofErr w:type="spellEnd"/>
      <w:r>
        <w:rPr>
          <w:rFonts w:ascii="Times New Roman" w:eastAsia="MS Mincho" w:hAnsi="Times New Roman" w:cs="Times New Roman"/>
          <w:i/>
          <w:iCs/>
          <w:color w:val="0000FF"/>
          <w:sz w:val="16"/>
        </w:rPr>
        <w:t xml:space="preserve"> 09-04-2012</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XI.</w:t>
      </w:r>
      <w:r>
        <w:rPr>
          <w:rFonts w:cs="Arial"/>
          <w:sz w:val="20"/>
        </w:rPr>
        <w:t xml:space="preserve"> El diseño, ejecución, montos asignados y criterios de acceso a los programas de subsidio. Así como los padrones de beneficiarios de los programas sociales que establezca el Decreto del Presupuesto de Egresos de la Federación;</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XII.</w:t>
      </w:r>
      <w:r>
        <w:rPr>
          <w:rFonts w:cs="Arial"/>
          <w:sz w:val="20"/>
        </w:rPr>
        <w:t xml:space="preserve"> Las concesiones, permisos o autorizaciones otorgados, especificando los titulares de aquéllos;</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XIII.</w:t>
      </w:r>
      <w:r>
        <w:rPr>
          <w:rFonts w:cs="Arial"/>
          <w:sz w:val="20"/>
        </w:rPr>
        <w:t xml:space="preserve"> Las contrataciones que se hayan celebrado en términos de la legislación aplicable detallando por cada contrato:</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ind w:left="630" w:firstLine="0"/>
        <w:rPr>
          <w:rFonts w:cs="Arial"/>
          <w:sz w:val="20"/>
        </w:rPr>
      </w:pPr>
      <w:r>
        <w:rPr>
          <w:rFonts w:cs="Arial"/>
          <w:b/>
          <w:sz w:val="20"/>
        </w:rPr>
        <w:t xml:space="preserve">a) </w:t>
      </w:r>
      <w:r>
        <w:rPr>
          <w:rFonts w:cs="Arial"/>
          <w:sz w:val="20"/>
        </w:rPr>
        <w:t>Las obras públicas, los bienes adquiridos, arrendados y los servicios contratados; en el caso de estudios o investigaciones deberá señalarse el tema específico;</w:t>
      </w:r>
    </w:p>
    <w:p w:rsidR="00A424CA" w:rsidRDefault="00A424CA" w:rsidP="00A424CA">
      <w:pPr>
        <w:pStyle w:val="texto"/>
        <w:spacing w:after="0" w:line="240" w:lineRule="auto"/>
        <w:ind w:left="630" w:firstLine="0"/>
        <w:rPr>
          <w:rFonts w:cs="Arial"/>
          <w:b/>
          <w:sz w:val="20"/>
        </w:rPr>
      </w:pPr>
    </w:p>
    <w:p w:rsidR="00A424CA" w:rsidRDefault="00A424CA" w:rsidP="00A424CA">
      <w:pPr>
        <w:pStyle w:val="texto"/>
        <w:spacing w:after="0" w:line="240" w:lineRule="auto"/>
        <w:ind w:left="630" w:firstLine="0"/>
        <w:rPr>
          <w:rFonts w:cs="Arial"/>
          <w:sz w:val="20"/>
        </w:rPr>
      </w:pPr>
      <w:r>
        <w:rPr>
          <w:rFonts w:cs="Arial"/>
          <w:b/>
          <w:sz w:val="20"/>
        </w:rPr>
        <w:t>b)</w:t>
      </w:r>
      <w:r>
        <w:rPr>
          <w:rFonts w:cs="Arial"/>
          <w:sz w:val="20"/>
        </w:rPr>
        <w:t xml:space="preserve"> El monto;</w:t>
      </w:r>
    </w:p>
    <w:p w:rsidR="00A424CA" w:rsidRDefault="00A424CA" w:rsidP="00A424CA">
      <w:pPr>
        <w:pStyle w:val="texto"/>
        <w:spacing w:after="0" w:line="240" w:lineRule="auto"/>
        <w:ind w:left="630" w:firstLine="0"/>
        <w:rPr>
          <w:rFonts w:cs="Arial"/>
          <w:sz w:val="20"/>
        </w:rPr>
      </w:pPr>
    </w:p>
    <w:p w:rsidR="00A424CA" w:rsidRDefault="00A424CA" w:rsidP="00A424CA">
      <w:pPr>
        <w:pStyle w:val="texto"/>
        <w:spacing w:after="0" w:line="240" w:lineRule="auto"/>
        <w:ind w:left="630" w:firstLine="0"/>
        <w:rPr>
          <w:rFonts w:cs="Arial"/>
          <w:sz w:val="20"/>
        </w:rPr>
      </w:pPr>
      <w:r>
        <w:rPr>
          <w:rFonts w:cs="Arial"/>
          <w:b/>
          <w:sz w:val="20"/>
        </w:rPr>
        <w:lastRenderedPageBreak/>
        <w:t>c)</w:t>
      </w:r>
      <w:r>
        <w:rPr>
          <w:rFonts w:cs="Arial"/>
          <w:sz w:val="20"/>
        </w:rPr>
        <w:t xml:space="preserve"> El nombre del proveedor, contratista o de la persona física o moral con quienes se haya celebrado el contrato, y</w:t>
      </w:r>
    </w:p>
    <w:p w:rsidR="00A424CA" w:rsidRDefault="00A424CA" w:rsidP="00A424CA">
      <w:pPr>
        <w:pStyle w:val="texto"/>
        <w:spacing w:after="0" w:line="240" w:lineRule="auto"/>
        <w:ind w:left="630" w:firstLine="0"/>
        <w:rPr>
          <w:rFonts w:cs="Arial"/>
          <w:sz w:val="20"/>
        </w:rPr>
      </w:pPr>
    </w:p>
    <w:p w:rsidR="00A424CA" w:rsidRDefault="00A424CA" w:rsidP="00A424CA">
      <w:pPr>
        <w:pStyle w:val="texto"/>
        <w:spacing w:after="0" w:line="240" w:lineRule="auto"/>
        <w:ind w:left="630" w:firstLine="0"/>
        <w:rPr>
          <w:rFonts w:cs="Arial"/>
          <w:sz w:val="20"/>
        </w:rPr>
      </w:pPr>
      <w:r>
        <w:rPr>
          <w:rFonts w:cs="Arial"/>
          <w:b/>
          <w:sz w:val="20"/>
        </w:rPr>
        <w:t>d)</w:t>
      </w:r>
      <w:r>
        <w:rPr>
          <w:rFonts w:cs="Arial"/>
          <w:sz w:val="20"/>
        </w:rPr>
        <w:t xml:space="preserve"> Los plazos de cumplimiento de los contratos;</w:t>
      </w:r>
    </w:p>
    <w:p w:rsidR="00A424CA" w:rsidRDefault="00A424CA" w:rsidP="00A424CA">
      <w:pPr>
        <w:pStyle w:val="texto"/>
        <w:spacing w:after="0" w:line="240" w:lineRule="auto"/>
        <w:ind w:left="630" w:firstLine="0"/>
        <w:rPr>
          <w:rFonts w:cs="Arial"/>
          <w:sz w:val="20"/>
        </w:rPr>
      </w:pPr>
    </w:p>
    <w:p w:rsidR="00A424CA" w:rsidRDefault="00A424CA" w:rsidP="00A424CA">
      <w:pPr>
        <w:pStyle w:val="texto"/>
        <w:spacing w:after="0" w:line="240" w:lineRule="auto"/>
        <w:rPr>
          <w:rFonts w:cs="Arial"/>
          <w:sz w:val="20"/>
        </w:rPr>
      </w:pPr>
      <w:r>
        <w:rPr>
          <w:rFonts w:cs="Arial"/>
          <w:b/>
          <w:sz w:val="20"/>
        </w:rPr>
        <w:t>XIV.</w:t>
      </w:r>
      <w:r>
        <w:rPr>
          <w:rFonts w:cs="Arial"/>
          <w:sz w:val="20"/>
        </w:rPr>
        <w:t xml:space="preserve"> El marco normativo aplicable a cada sujeto obligado;</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XV.</w:t>
      </w:r>
      <w:r>
        <w:rPr>
          <w:rFonts w:cs="Arial"/>
          <w:sz w:val="20"/>
        </w:rPr>
        <w:t xml:space="preserve"> Los informes que, por disposición legal, generen los sujetos obligados;</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XVI.</w:t>
      </w:r>
      <w:r>
        <w:rPr>
          <w:rFonts w:cs="Arial"/>
          <w:sz w:val="20"/>
        </w:rPr>
        <w:t xml:space="preserve"> En su caso, los mecanismos de participación ciudadana, y</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XVII.</w:t>
      </w:r>
      <w:r>
        <w:rPr>
          <w:rFonts w:cs="Arial"/>
          <w:sz w:val="20"/>
        </w:rPr>
        <w:t xml:space="preserve"> Cualquier otra información que sea de utilidad o se considere relevante, además de la que con base a la información estadística, responda a las preguntas hechas con más frecuencia por el público.</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sz w:val="20"/>
        </w:rPr>
        <w:t>La información a que se refiere este Artículo deberá publicarse de tal forma que facilite su uso y comprensión por las personas, y que permita asegurar su calidad, veracidad, oportunidad y confiabilidad. Las dependencias y entidades deberán atender las recomendaciones que al respecto expida el Instituto.</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Artículo 8.</w:t>
      </w:r>
      <w:r>
        <w:rPr>
          <w:rFonts w:cs="Arial"/>
          <w:sz w:val="20"/>
        </w:rPr>
        <w:t xml:space="preserve"> El Poder Judicial de la Federación deberá hacer públicas las sentencias que hayan causado estado o ejecutoria, las partes podrán oponerse a la publicación de sus datos personales.</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Artículo 9.</w:t>
      </w:r>
      <w:r>
        <w:rPr>
          <w:rFonts w:cs="Arial"/>
          <w:sz w:val="20"/>
        </w:rPr>
        <w:t xml:space="preserve"> La información a que se refiere el Artículo 7 deberá estar a disposición del público, a través de medios remotos o locales de comunicación electrónica. Los sujetos obligados deberán tener a disposición de las personas interesadas equipo de cómputo, a fin de que éstas puedan obtener la información, de manera directa o mediante impresiones. Asimismo, éstos deberán proporcionar apoyo a los usuarios que lo requieran y proveer todo tipo de asistencia respecto de los trámites y servicios que presten.</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sz w:val="20"/>
        </w:rPr>
        <w:t>Las dependencias y entidades deberán preparar la automatización, presentación y contenido de su información, como también su integración en línea, en los términos que disponga el Reglamento y los lineamientos que al respecto expida el Instituto.</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Artículo 10.</w:t>
      </w:r>
      <w:r>
        <w:rPr>
          <w:rFonts w:cs="Arial"/>
          <w:sz w:val="20"/>
        </w:rPr>
        <w:t xml:space="preserve"> Las dependencias y entidades deberán hacer públicas, directamente o a través de la Consejería Jurídica del Ejecutivo Federal o de la Comisión Federal de Mejora Regulatoria, en los términos que establezca el Reglamento, y por lo menos con 20 días hábiles de anticipación a la fecha en que se pretendan publicar o someter a firma del titular del Ejecutivo Federal, los anteproyectos de leyes y disposiciones administrativas de carácter general a que se refiere el Artículo 4 de la Ley Federal de Procedimiento Administrativo, salvo que se determine a juicio de la Consejería o la Comisión Federal de Mejora Regulatoria, según sea el caso, que su publicación puede comprometer los efectos que se pretendan lograr con la disposición o se trate de situaciones de emergencia, de conformidad con esa Ley.</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Artículo 11.</w:t>
      </w:r>
      <w:r>
        <w:rPr>
          <w:rFonts w:cs="Arial"/>
          <w:sz w:val="20"/>
        </w:rPr>
        <w:t xml:space="preserve"> Los informes que presenten los partidos políticos y las agrupaciones políticas nacionales al Instituto Federal Electoral, así como las auditorías y verificaciones que ordene la Comisión de Fiscalización de los Recursos Públicos de los Partidos y Agrupaciones Políticas, deberán hacerse públicos al concluir el procedimiento de fiscalización respectivo.</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sz w:val="20"/>
        </w:rPr>
        <w:t>Cualquier ciudadano podrá solicitar al Instituto Federal Electoral, la información relativa al uso de los recursos públicos que reciban los partidos políticos y las agrupaciones políticas nacionales.</w:t>
      </w:r>
    </w:p>
    <w:p w:rsidR="00A424CA" w:rsidRDefault="00A424CA" w:rsidP="00A424CA">
      <w:pPr>
        <w:pStyle w:val="texto"/>
        <w:spacing w:after="0" w:line="240" w:lineRule="auto"/>
        <w:rPr>
          <w:rFonts w:cs="Arial"/>
          <w:sz w:val="20"/>
        </w:rPr>
      </w:pPr>
    </w:p>
    <w:p w:rsidR="00A424CA" w:rsidRDefault="00A424CA" w:rsidP="00A424CA">
      <w:pPr>
        <w:pStyle w:val="texto"/>
        <w:spacing w:after="0" w:line="240" w:lineRule="auto"/>
        <w:rPr>
          <w:rFonts w:cs="Arial"/>
          <w:sz w:val="20"/>
        </w:rPr>
      </w:pPr>
      <w:r>
        <w:rPr>
          <w:rFonts w:cs="Arial"/>
          <w:b/>
          <w:sz w:val="20"/>
        </w:rPr>
        <w:t>Artículo 12.</w:t>
      </w:r>
      <w:r>
        <w:rPr>
          <w:rFonts w:cs="Arial"/>
          <w:sz w:val="20"/>
        </w:rPr>
        <w:t xml:space="preserve"> 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424CA" w:rsidRDefault="00A424CA" w:rsidP="00A424CA">
      <w:pPr>
        <w:pStyle w:val="texto"/>
        <w:spacing w:after="0" w:line="240" w:lineRule="auto"/>
        <w:rPr>
          <w:rFonts w:cs="Arial"/>
          <w:sz w:val="20"/>
        </w:rPr>
      </w:pPr>
    </w:p>
    <w:p w:rsidR="00ED22CB" w:rsidRDefault="00ED22CB"/>
    <w:sectPr w:rsidR="00ED22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CA"/>
    <w:rsid w:val="00A424CA"/>
    <w:rsid w:val="00ED22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424CA"/>
    <w:pPr>
      <w:spacing w:after="101" w:line="216" w:lineRule="atLeast"/>
      <w:ind w:firstLine="288"/>
      <w:jc w:val="both"/>
    </w:pPr>
    <w:rPr>
      <w:rFonts w:ascii="Arial" w:eastAsia="Times New Roman" w:hAnsi="Arial" w:cs="Times New Roman"/>
      <w:sz w:val="18"/>
      <w:szCs w:val="20"/>
      <w:lang w:val="es-ES_tradnl" w:eastAsia="es-ES"/>
    </w:rPr>
  </w:style>
  <w:style w:type="paragraph" w:styleId="Textosinformato">
    <w:name w:val="Plain Text"/>
    <w:basedOn w:val="Normal"/>
    <w:link w:val="TextosinformatoCar"/>
    <w:rsid w:val="00A424C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A424CA"/>
    <w:rPr>
      <w:rFonts w:ascii="Courier New" w:eastAsia="Times New Roman" w:hAnsi="Courier New" w:cs="Courier New"/>
      <w:sz w:val="20"/>
      <w:szCs w:val="20"/>
      <w:lang w:val="es-ES" w:eastAsia="es-ES"/>
    </w:rPr>
  </w:style>
  <w:style w:type="paragraph" w:customStyle="1" w:styleId="Texto0">
    <w:name w:val="Texto"/>
    <w:basedOn w:val="Normal"/>
    <w:rsid w:val="00A424CA"/>
    <w:pPr>
      <w:spacing w:after="101" w:line="216" w:lineRule="exact"/>
      <w:ind w:firstLine="288"/>
      <w:jc w:val="both"/>
    </w:pPr>
    <w:rPr>
      <w:rFonts w:ascii="Arial" w:eastAsia="Times New Roman" w:hAnsi="Arial" w:cs="Arial"/>
      <w:sz w:val="18"/>
      <w:szCs w:val="1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424CA"/>
    <w:pPr>
      <w:spacing w:after="101" w:line="216" w:lineRule="atLeast"/>
      <w:ind w:firstLine="288"/>
      <w:jc w:val="both"/>
    </w:pPr>
    <w:rPr>
      <w:rFonts w:ascii="Arial" w:eastAsia="Times New Roman" w:hAnsi="Arial" w:cs="Times New Roman"/>
      <w:sz w:val="18"/>
      <w:szCs w:val="20"/>
      <w:lang w:val="es-ES_tradnl" w:eastAsia="es-ES"/>
    </w:rPr>
  </w:style>
  <w:style w:type="paragraph" w:styleId="Textosinformato">
    <w:name w:val="Plain Text"/>
    <w:basedOn w:val="Normal"/>
    <w:link w:val="TextosinformatoCar"/>
    <w:rsid w:val="00A424C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A424CA"/>
    <w:rPr>
      <w:rFonts w:ascii="Courier New" w:eastAsia="Times New Roman" w:hAnsi="Courier New" w:cs="Courier New"/>
      <w:sz w:val="20"/>
      <w:szCs w:val="20"/>
      <w:lang w:val="es-ES" w:eastAsia="es-ES"/>
    </w:rPr>
  </w:style>
  <w:style w:type="paragraph" w:customStyle="1" w:styleId="Texto0">
    <w:name w:val="Texto"/>
    <w:basedOn w:val="Normal"/>
    <w:rsid w:val="00A424CA"/>
    <w:pPr>
      <w:spacing w:after="101" w:line="216" w:lineRule="exact"/>
      <w:ind w:firstLine="288"/>
      <w:jc w:val="both"/>
    </w:pPr>
    <w:rPr>
      <w:rFonts w:ascii="Arial" w:eastAsia="Times New Roman" w:hAnsi="Arial" w:cs="Arial"/>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5214</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Dalai SerA</dc:creator>
  <cp:lastModifiedBy>Dalai SerA</cp:lastModifiedBy>
  <cp:revision>1</cp:revision>
  <dcterms:created xsi:type="dcterms:W3CDTF">2012-12-18T03:59:00Z</dcterms:created>
  <dcterms:modified xsi:type="dcterms:W3CDTF">2012-12-18T03:59:00Z</dcterms:modified>
</cp:coreProperties>
</file>