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5C6" w:rsidRDefault="004025C6" w:rsidP="004025C6">
      <w:pPr>
        <w:pStyle w:val="Texto"/>
        <w:spacing w:after="0" w:line="240" w:lineRule="auto"/>
        <w:ind w:firstLine="0"/>
        <w:jc w:val="center"/>
        <w:rPr>
          <w:b/>
          <w:bCs/>
          <w:color w:val="000000"/>
          <w:sz w:val="22"/>
          <w:lang w:val="es-MX"/>
        </w:rPr>
      </w:pPr>
      <w:r>
        <w:rPr>
          <w:b/>
          <w:bCs/>
          <w:color w:val="000000"/>
          <w:sz w:val="22"/>
          <w:lang w:val="es-MX"/>
        </w:rPr>
        <w:t>CAPÍTULO I</w:t>
      </w:r>
    </w:p>
    <w:p w:rsidR="004025C6" w:rsidRDefault="004025C6" w:rsidP="004025C6">
      <w:pPr>
        <w:pStyle w:val="Texto"/>
        <w:spacing w:after="0" w:line="240" w:lineRule="auto"/>
        <w:ind w:firstLine="0"/>
        <w:jc w:val="center"/>
        <w:rPr>
          <w:b/>
          <w:bCs/>
          <w:color w:val="000000"/>
          <w:sz w:val="22"/>
          <w:lang w:val="es-MX"/>
        </w:rPr>
      </w:pPr>
      <w:r>
        <w:rPr>
          <w:b/>
          <w:bCs/>
          <w:color w:val="000000"/>
          <w:sz w:val="22"/>
          <w:lang w:val="es-MX"/>
        </w:rPr>
        <w:t>De la Información y Transparencia</w:t>
      </w:r>
    </w:p>
    <w:p w:rsidR="004025C6" w:rsidRDefault="004025C6" w:rsidP="004025C6">
      <w:pPr>
        <w:pStyle w:val="Texto"/>
        <w:spacing w:after="0" w:line="240" w:lineRule="auto"/>
        <w:ind w:firstLine="0"/>
        <w:jc w:val="center"/>
        <w:rPr>
          <w:color w:val="000000"/>
          <w:sz w:val="20"/>
          <w:lang w:val="es-MX"/>
        </w:rPr>
      </w:pPr>
    </w:p>
    <w:p w:rsidR="004025C6" w:rsidRDefault="004025C6" w:rsidP="004025C6">
      <w:pPr>
        <w:pStyle w:val="Texto"/>
        <w:spacing w:after="0" w:line="240" w:lineRule="auto"/>
        <w:rPr>
          <w:color w:val="000000"/>
          <w:sz w:val="20"/>
          <w:lang w:val="es-MX"/>
        </w:rPr>
      </w:pPr>
      <w:r>
        <w:rPr>
          <w:b/>
          <w:bCs/>
          <w:color w:val="000000"/>
          <w:sz w:val="20"/>
          <w:lang w:val="es-MX"/>
        </w:rPr>
        <w:t xml:space="preserve">Artículo 106.- </w:t>
      </w:r>
      <w:r>
        <w:rPr>
          <w:color w:val="000000"/>
          <w:sz w:val="20"/>
          <w:lang w:val="es-MX"/>
        </w:rPr>
        <w:t>Los ejecutores de gasto, en el manejo de los recursos públicos federales, deberán observar las disposiciones establecidas en la Ley Federal de Transparencia y Acceso a la Información Pública Gubernamental.</w:t>
      </w:r>
    </w:p>
    <w:p w:rsidR="004025C6" w:rsidRDefault="004025C6" w:rsidP="004025C6">
      <w:pPr>
        <w:pStyle w:val="Texto"/>
        <w:spacing w:after="0" w:line="240" w:lineRule="auto"/>
        <w:rPr>
          <w:color w:val="000000"/>
          <w:sz w:val="20"/>
          <w:lang w:val="es-MX"/>
        </w:rPr>
      </w:pPr>
    </w:p>
    <w:p w:rsidR="004025C6" w:rsidRDefault="004025C6" w:rsidP="004025C6">
      <w:pPr>
        <w:pStyle w:val="Texto"/>
        <w:spacing w:after="0" w:line="240" w:lineRule="auto"/>
        <w:rPr>
          <w:color w:val="000000"/>
          <w:sz w:val="20"/>
          <w:lang w:val="es-MX"/>
        </w:rPr>
      </w:pPr>
      <w:r>
        <w:rPr>
          <w:color w:val="000000"/>
          <w:sz w:val="20"/>
          <w:lang w:val="es-MX"/>
        </w:rPr>
        <w:t>La información a que se refiere el artículo 7, fracción IX, de la Ley citada en el párrafo anterior, se pondrá a disposición del público en los términos que establezca el Presupuesto de Egresos y en la misma fecha en que se entreguen los informes trimestrales al Congreso de la Unión.</w:t>
      </w:r>
    </w:p>
    <w:p w:rsidR="004025C6" w:rsidRDefault="004025C6" w:rsidP="004025C6">
      <w:pPr>
        <w:pStyle w:val="Texto"/>
        <w:spacing w:after="0" w:line="240" w:lineRule="auto"/>
        <w:rPr>
          <w:color w:val="000000"/>
          <w:sz w:val="20"/>
          <w:lang w:val="es-MX"/>
        </w:rPr>
      </w:pPr>
    </w:p>
    <w:p w:rsidR="004025C6" w:rsidRDefault="004025C6" w:rsidP="004025C6">
      <w:pPr>
        <w:pStyle w:val="Texto"/>
        <w:spacing w:after="0" w:line="240" w:lineRule="auto"/>
        <w:rPr>
          <w:color w:val="000000"/>
          <w:sz w:val="20"/>
          <w:lang w:val="es-MX"/>
        </w:rPr>
      </w:pPr>
      <w:r>
        <w:rPr>
          <w:color w:val="000000"/>
          <w:sz w:val="20"/>
          <w:lang w:val="es-MX"/>
        </w:rPr>
        <w:t>Los ejecutores de gasto deberán remitir al Congreso de la Unión la información que éste les solicite en relación con sus respectivos presupuestos, en los términos de las disposiciones generales aplicables. Dicha solicitud se realizará por los órganos de gobierno de las Cámaras o por las Comisiones competentes, así como el Centro de Estudios de las Finanzas Públicas de la Cámara de Diputados.</w:t>
      </w:r>
    </w:p>
    <w:p w:rsidR="004025C6" w:rsidRDefault="004025C6" w:rsidP="004025C6">
      <w:pPr>
        <w:pStyle w:val="Texto"/>
        <w:spacing w:after="0" w:line="240" w:lineRule="auto"/>
        <w:rPr>
          <w:color w:val="000000"/>
          <w:sz w:val="20"/>
          <w:lang w:val="es-MX"/>
        </w:rPr>
      </w:pPr>
    </w:p>
    <w:p w:rsidR="004025C6" w:rsidRDefault="004025C6" w:rsidP="004025C6">
      <w:pPr>
        <w:pStyle w:val="Texto"/>
        <w:spacing w:after="0" w:line="240" w:lineRule="auto"/>
        <w:rPr>
          <w:color w:val="000000"/>
          <w:sz w:val="20"/>
          <w:lang w:val="es-MX"/>
        </w:rPr>
      </w:pPr>
      <w:r>
        <w:rPr>
          <w:b/>
          <w:bCs/>
          <w:color w:val="000000"/>
          <w:sz w:val="20"/>
          <w:lang w:val="es-MX"/>
        </w:rPr>
        <w:t xml:space="preserve">Artículo 107.- </w:t>
      </w:r>
      <w:r>
        <w:rPr>
          <w:color w:val="000000"/>
          <w:sz w:val="20"/>
          <w:lang w:val="es-MX"/>
        </w:rPr>
        <w:t>El Ejecutivo Federal, por conducto de la Secretaría, entregará al Congreso de la Unión información mensual y trimestral en los siguientes términos:</w:t>
      </w:r>
    </w:p>
    <w:p w:rsidR="004025C6" w:rsidRDefault="004025C6" w:rsidP="004025C6">
      <w:pPr>
        <w:pStyle w:val="Texto"/>
        <w:spacing w:after="0" w:line="240" w:lineRule="auto"/>
        <w:rPr>
          <w:color w:val="000000"/>
          <w:sz w:val="20"/>
          <w:lang w:val="es-MX"/>
        </w:rPr>
      </w:pPr>
    </w:p>
    <w:p w:rsidR="004025C6" w:rsidRDefault="004025C6" w:rsidP="004025C6">
      <w:pPr>
        <w:pStyle w:val="Texto"/>
        <w:spacing w:after="0" w:line="240" w:lineRule="auto"/>
        <w:ind w:left="720" w:hanging="431"/>
        <w:rPr>
          <w:color w:val="000000"/>
          <w:sz w:val="20"/>
          <w:lang w:val="es-MX"/>
        </w:rPr>
      </w:pPr>
      <w:r>
        <w:rPr>
          <w:b/>
          <w:bCs/>
          <w:color w:val="000000"/>
          <w:sz w:val="20"/>
          <w:lang w:val="es-MX"/>
        </w:rPr>
        <w:t xml:space="preserve">I. </w:t>
      </w:r>
      <w:r>
        <w:rPr>
          <w:b/>
          <w:bCs/>
          <w:color w:val="000000"/>
          <w:sz w:val="20"/>
          <w:lang w:val="es-MX"/>
        </w:rPr>
        <w:tab/>
      </w:r>
      <w:r>
        <w:rPr>
          <w:color w:val="000000"/>
          <w:sz w:val="20"/>
          <w:lang w:val="es-MX"/>
        </w:rPr>
        <w:t>Informes trimestrales a los 30 días naturales después de terminado el trimestre de que se trate, conforme a lo previsto en esta Ley.</w:t>
      </w:r>
    </w:p>
    <w:p w:rsidR="004025C6" w:rsidRDefault="004025C6" w:rsidP="004025C6">
      <w:pPr>
        <w:pStyle w:val="Texto"/>
        <w:spacing w:after="0" w:line="240" w:lineRule="auto"/>
        <w:ind w:left="720" w:hanging="431"/>
        <w:rPr>
          <w:color w:val="000000"/>
          <w:sz w:val="20"/>
          <w:lang w:val="es-MX"/>
        </w:rPr>
      </w:pPr>
    </w:p>
    <w:p w:rsidR="004025C6" w:rsidRDefault="004025C6" w:rsidP="004025C6">
      <w:pPr>
        <w:pStyle w:val="Texto"/>
        <w:spacing w:after="0" w:line="240" w:lineRule="auto"/>
        <w:ind w:left="720" w:firstLine="0"/>
        <w:rPr>
          <w:color w:val="000000"/>
          <w:sz w:val="20"/>
          <w:lang w:val="es-MX"/>
        </w:rPr>
      </w:pPr>
      <w:r>
        <w:rPr>
          <w:color w:val="000000"/>
          <w:sz w:val="20"/>
          <w:lang w:val="es-MX"/>
        </w:rPr>
        <w:t>Los informes trimestrales deberán presentarse con desglose mensual e incluirán información sobre los ingresos obtenidos y la ejecución del Presupuesto de Egresos, así como sobre la situación económica y las finanzas públicas del ejercicio, conforme a lo previsto en esta Ley y el Reglamento. Asimismo, incluirán los principales indicadores sobre los resultados y avances de los programas y proyectos en el cumplimiento de los objetivos y metas y de su impacto social, con el objeto de facilitar su evaluación en los términos a que se refieren los artículos 110 y 111 de esta Ley.</w:t>
      </w:r>
    </w:p>
    <w:p w:rsidR="004025C6" w:rsidRDefault="004025C6" w:rsidP="004025C6">
      <w:pPr>
        <w:pStyle w:val="Texto"/>
        <w:spacing w:after="0" w:line="240" w:lineRule="auto"/>
        <w:ind w:left="720" w:hanging="431"/>
        <w:rPr>
          <w:color w:val="000000"/>
          <w:sz w:val="20"/>
          <w:lang w:val="es-MX"/>
        </w:rPr>
      </w:pPr>
    </w:p>
    <w:p w:rsidR="004025C6" w:rsidRDefault="004025C6" w:rsidP="004025C6">
      <w:pPr>
        <w:pStyle w:val="Texto"/>
        <w:spacing w:after="0" w:line="240" w:lineRule="auto"/>
        <w:ind w:left="720" w:firstLine="0"/>
        <w:rPr>
          <w:color w:val="000000"/>
          <w:sz w:val="20"/>
          <w:lang w:val="es-MX"/>
        </w:rPr>
      </w:pPr>
      <w:r>
        <w:rPr>
          <w:color w:val="000000"/>
          <w:sz w:val="20"/>
          <w:lang w:val="es-MX"/>
        </w:rPr>
        <w:t>Los ejecutores de gasto serán responsables de remitir oportunamente a la Secretaría, la información que corresponda para la debida integración de los informes trimestrales, cuya metodología permitirá hacer comparaciones consistentes durante el ejercicio fiscal y entre varios ejercicios fiscales.</w:t>
      </w:r>
    </w:p>
    <w:p w:rsidR="004025C6" w:rsidRDefault="004025C6" w:rsidP="004025C6">
      <w:pPr>
        <w:pStyle w:val="Texto"/>
        <w:spacing w:after="0" w:line="240" w:lineRule="auto"/>
        <w:ind w:left="720" w:hanging="431"/>
        <w:rPr>
          <w:color w:val="000000"/>
          <w:sz w:val="20"/>
          <w:lang w:val="es-MX"/>
        </w:rPr>
      </w:pPr>
    </w:p>
    <w:p w:rsidR="004025C6" w:rsidRDefault="004025C6" w:rsidP="004025C6">
      <w:pPr>
        <w:pStyle w:val="Texto"/>
        <w:spacing w:after="0" w:line="240" w:lineRule="auto"/>
        <w:ind w:left="720" w:firstLine="0"/>
        <w:rPr>
          <w:color w:val="000000"/>
          <w:sz w:val="20"/>
          <w:lang w:val="es-MX"/>
        </w:rPr>
      </w:pPr>
      <w:r>
        <w:rPr>
          <w:color w:val="000000"/>
          <w:sz w:val="20"/>
          <w:lang w:val="es-MX"/>
        </w:rPr>
        <w:t>Los informes trimestrales deberán contener como mínimo:</w:t>
      </w:r>
    </w:p>
    <w:p w:rsidR="004025C6" w:rsidRDefault="004025C6" w:rsidP="004025C6">
      <w:pPr>
        <w:pStyle w:val="Texto"/>
        <w:spacing w:after="0" w:line="240" w:lineRule="auto"/>
        <w:ind w:left="720" w:hanging="431"/>
        <w:rPr>
          <w:color w:val="000000"/>
          <w:sz w:val="20"/>
          <w:lang w:val="es-MX"/>
        </w:rPr>
      </w:pPr>
    </w:p>
    <w:p w:rsidR="004025C6" w:rsidRDefault="004025C6" w:rsidP="004025C6">
      <w:pPr>
        <w:pStyle w:val="Texto"/>
        <w:spacing w:after="0" w:line="240" w:lineRule="auto"/>
        <w:ind w:left="1151" w:hanging="431"/>
        <w:rPr>
          <w:color w:val="000000"/>
          <w:sz w:val="20"/>
          <w:lang w:val="es-MX"/>
        </w:rPr>
      </w:pPr>
      <w:r>
        <w:rPr>
          <w:b/>
          <w:bCs/>
          <w:color w:val="000000"/>
          <w:sz w:val="20"/>
          <w:lang w:val="es-MX"/>
        </w:rPr>
        <w:t xml:space="preserve">a) </w:t>
      </w:r>
      <w:r>
        <w:rPr>
          <w:b/>
          <w:bCs/>
          <w:color w:val="000000"/>
          <w:sz w:val="20"/>
          <w:lang w:val="es-MX"/>
        </w:rPr>
        <w:tab/>
      </w:r>
      <w:r>
        <w:rPr>
          <w:color w:val="000000"/>
          <w:sz w:val="20"/>
          <w:lang w:val="es-MX"/>
        </w:rPr>
        <w:t>La situación económica, incluyendo el análisis sobre la producción y el empleo, precios y salarios y la evaluación del sector financiero y del sector externo;</w:t>
      </w:r>
    </w:p>
    <w:p w:rsidR="004025C6" w:rsidRDefault="004025C6" w:rsidP="004025C6">
      <w:pPr>
        <w:pStyle w:val="Texto"/>
        <w:spacing w:after="0" w:line="240" w:lineRule="auto"/>
        <w:ind w:left="1151" w:hanging="431"/>
        <w:rPr>
          <w:color w:val="000000"/>
          <w:sz w:val="20"/>
          <w:lang w:val="es-MX"/>
        </w:rPr>
      </w:pPr>
    </w:p>
    <w:p w:rsidR="004025C6" w:rsidRDefault="004025C6" w:rsidP="004025C6">
      <w:pPr>
        <w:pStyle w:val="Texto"/>
        <w:spacing w:after="0" w:line="240" w:lineRule="auto"/>
        <w:ind w:left="1151" w:hanging="431"/>
        <w:rPr>
          <w:color w:val="000000"/>
          <w:sz w:val="20"/>
          <w:lang w:val="es-MX"/>
        </w:rPr>
      </w:pPr>
      <w:r>
        <w:rPr>
          <w:b/>
          <w:bCs/>
          <w:color w:val="000000"/>
          <w:sz w:val="20"/>
          <w:lang w:val="es-MX"/>
        </w:rPr>
        <w:t xml:space="preserve">b) </w:t>
      </w:r>
      <w:r>
        <w:rPr>
          <w:b/>
          <w:bCs/>
          <w:color w:val="000000"/>
          <w:sz w:val="20"/>
          <w:lang w:val="es-MX"/>
        </w:rPr>
        <w:tab/>
      </w:r>
      <w:r>
        <w:rPr>
          <w:color w:val="000000"/>
          <w:sz w:val="20"/>
          <w:lang w:val="es-MX"/>
        </w:rPr>
        <w:t>La situación de las finanzas públicas, con base en lo siguiente:</w:t>
      </w:r>
    </w:p>
    <w:p w:rsidR="004025C6" w:rsidRDefault="004025C6" w:rsidP="004025C6">
      <w:pPr>
        <w:pStyle w:val="Texto"/>
        <w:spacing w:after="0" w:line="240" w:lineRule="auto"/>
        <w:ind w:left="1151" w:hanging="431"/>
        <w:rPr>
          <w:color w:val="000000"/>
          <w:sz w:val="20"/>
          <w:lang w:val="es-MX"/>
        </w:rPr>
      </w:pPr>
    </w:p>
    <w:p w:rsidR="004025C6" w:rsidRDefault="004025C6" w:rsidP="004025C6">
      <w:pPr>
        <w:pStyle w:val="Texto"/>
        <w:spacing w:after="0" w:line="240" w:lineRule="auto"/>
        <w:ind w:left="1582" w:hanging="431"/>
        <w:rPr>
          <w:color w:val="000000"/>
          <w:sz w:val="20"/>
          <w:lang w:val="es-MX"/>
        </w:rPr>
      </w:pPr>
      <w:r>
        <w:rPr>
          <w:b/>
          <w:bCs/>
          <w:color w:val="000000"/>
          <w:sz w:val="20"/>
          <w:lang w:val="es-MX"/>
        </w:rPr>
        <w:t xml:space="preserve">i) </w:t>
      </w:r>
      <w:r>
        <w:rPr>
          <w:b/>
          <w:bCs/>
          <w:color w:val="000000"/>
          <w:sz w:val="20"/>
          <w:lang w:val="es-MX"/>
        </w:rPr>
        <w:tab/>
      </w:r>
      <w:r>
        <w:rPr>
          <w:color w:val="000000"/>
          <w:sz w:val="20"/>
          <w:lang w:val="es-MX"/>
        </w:rPr>
        <w:t>Los principales indicadores de la postura fiscal, incluyendo información sobre los balances fiscales y, en su caso, el déficit presupuestario;</w:t>
      </w:r>
    </w:p>
    <w:p w:rsidR="004025C6" w:rsidRDefault="004025C6" w:rsidP="004025C6">
      <w:pPr>
        <w:pStyle w:val="Texto"/>
        <w:spacing w:after="0" w:line="240" w:lineRule="auto"/>
        <w:ind w:left="1582" w:hanging="431"/>
        <w:rPr>
          <w:color w:val="000000"/>
          <w:sz w:val="20"/>
          <w:lang w:val="es-MX"/>
        </w:rPr>
      </w:pPr>
    </w:p>
    <w:p w:rsidR="004025C6" w:rsidRDefault="004025C6" w:rsidP="004025C6">
      <w:pPr>
        <w:pStyle w:val="Texto"/>
        <w:spacing w:after="0" w:line="240" w:lineRule="auto"/>
        <w:ind w:left="1582" w:hanging="431"/>
        <w:rPr>
          <w:color w:val="000000"/>
          <w:sz w:val="20"/>
          <w:lang w:val="es-MX"/>
        </w:rPr>
      </w:pPr>
      <w:r>
        <w:rPr>
          <w:b/>
          <w:bCs/>
          <w:color w:val="000000"/>
          <w:sz w:val="20"/>
          <w:lang w:val="es-MX"/>
        </w:rPr>
        <w:t xml:space="preserve">ii) </w:t>
      </w:r>
      <w:r>
        <w:rPr>
          <w:b/>
          <w:bCs/>
          <w:color w:val="000000"/>
          <w:sz w:val="20"/>
          <w:lang w:val="es-MX"/>
        </w:rPr>
        <w:tab/>
      </w:r>
      <w:r>
        <w:rPr>
          <w:color w:val="000000"/>
          <w:sz w:val="20"/>
          <w:lang w:val="es-MX"/>
        </w:rPr>
        <w:t>La evolución de los ingresos tributarios y no tributarios, especificando el desarrollo de los ingresos petroleros y los no petroleros; la situación respecto a las metas de recaudación y una explicación detallada de la misma, así como el comportamiento de las participaciones federales para las entidades federativas.</w:t>
      </w:r>
    </w:p>
    <w:p w:rsidR="004025C6" w:rsidRDefault="004025C6" w:rsidP="004025C6">
      <w:pPr>
        <w:pStyle w:val="Texto"/>
        <w:spacing w:after="0" w:line="240" w:lineRule="auto"/>
        <w:ind w:left="1582" w:hanging="431"/>
        <w:rPr>
          <w:color w:val="000000"/>
          <w:sz w:val="20"/>
          <w:lang w:val="es-MX"/>
        </w:rPr>
      </w:pPr>
    </w:p>
    <w:p w:rsidR="004025C6" w:rsidRDefault="004025C6" w:rsidP="004025C6">
      <w:pPr>
        <w:pStyle w:val="Texto"/>
        <w:spacing w:after="0" w:line="240" w:lineRule="auto"/>
        <w:ind w:left="1582" w:firstLine="0"/>
        <w:rPr>
          <w:color w:val="000000"/>
          <w:sz w:val="20"/>
          <w:lang w:val="es-MX"/>
        </w:rPr>
      </w:pPr>
      <w:r>
        <w:rPr>
          <w:color w:val="000000"/>
          <w:sz w:val="20"/>
          <w:lang w:val="es-MX"/>
        </w:rPr>
        <w:t xml:space="preserve">Asimismo, deberán reportarse los juicios ganados y perdidos por el Servicio de Administración Tributaria, el Instituto Mexicano del Seguro Social y el Instituto del Fondo Nacional de la Vivienda para los Trabajadores, en materia fiscal y de recaudación; así como el monto que su resultado representa de los ingresos y el costo operativo que implica para las respectivas instituciones y en particular para el Servicio de Administración Tributaria. Este reporte deberá incluir una explicación de las disposiciones fiscales que causan </w:t>
      </w:r>
      <w:r>
        <w:rPr>
          <w:color w:val="000000"/>
          <w:sz w:val="20"/>
          <w:lang w:val="es-MX"/>
        </w:rPr>
        <w:lastRenderedPageBreak/>
        <w:t>inseguridad jurídica para el Gobierno Federal. Los tribunales competentes estarán obligados a facilitar a las instituciones citadas la información que requieran para elaborar dichos reportes, y</w:t>
      </w:r>
    </w:p>
    <w:p w:rsidR="004025C6" w:rsidRDefault="004025C6" w:rsidP="004025C6">
      <w:pPr>
        <w:pStyle w:val="Texto"/>
        <w:spacing w:after="0" w:line="240" w:lineRule="auto"/>
        <w:ind w:left="1582" w:hanging="431"/>
        <w:rPr>
          <w:color w:val="000000"/>
          <w:sz w:val="20"/>
          <w:lang w:val="es-MX"/>
        </w:rPr>
      </w:pPr>
    </w:p>
    <w:p w:rsidR="004025C6" w:rsidRDefault="004025C6" w:rsidP="004025C6">
      <w:pPr>
        <w:pStyle w:val="Texto"/>
        <w:spacing w:after="0" w:line="240" w:lineRule="auto"/>
        <w:ind w:left="1582" w:hanging="431"/>
        <w:rPr>
          <w:color w:val="000000"/>
          <w:sz w:val="20"/>
          <w:lang w:val="es-MX"/>
        </w:rPr>
      </w:pPr>
      <w:r>
        <w:rPr>
          <w:b/>
          <w:bCs/>
          <w:color w:val="000000"/>
          <w:sz w:val="20"/>
          <w:lang w:val="es-MX"/>
        </w:rPr>
        <w:t xml:space="preserve">iii) </w:t>
      </w:r>
      <w:r>
        <w:rPr>
          <w:b/>
          <w:bCs/>
          <w:color w:val="000000"/>
          <w:sz w:val="20"/>
          <w:lang w:val="es-MX"/>
        </w:rPr>
        <w:tab/>
      </w:r>
      <w:r>
        <w:rPr>
          <w:color w:val="000000"/>
          <w:sz w:val="20"/>
          <w:lang w:val="es-MX"/>
        </w:rPr>
        <w:t>La evolución del gasto público, incluyendo el gasto programable y no programable; su ejecución conforme a las clasificaciones a que se refiere el artículo 28 de esta Ley, los principales resultados de los programas y proyectos, y las disponibilidades de recursos en fondos y fideicomisos;</w:t>
      </w:r>
    </w:p>
    <w:p w:rsidR="004025C6" w:rsidRDefault="004025C6" w:rsidP="004025C6">
      <w:pPr>
        <w:pStyle w:val="Texto"/>
        <w:spacing w:after="0" w:line="240" w:lineRule="auto"/>
        <w:ind w:left="1151" w:hanging="431"/>
        <w:rPr>
          <w:color w:val="000000"/>
          <w:sz w:val="20"/>
          <w:lang w:val="es-MX"/>
        </w:rPr>
      </w:pPr>
    </w:p>
    <w:p w:rsidR="004025C6" w:rsidRPr="00B250B5" w:rsidRDefault="004025C6" w:rsidP="004025C6">
      <w:pPr>
        <w:pStyle w:val="Texto"/>
        <w:spacing w:after="0" w:line="240" w:lineRule="auto"/>
        <w:ind w:left="1582" w:hanging="431"/>
        <w:rPr>
          <w:rFonts w:cs="Arial"/>
          <w:bCs/>
          <w:color w:val="000000"/>
          <w:sz w:val="20"/>
          <w:lang w:val="es-MX"/>
        </w:rPr>
      </w:pPr>
      <w:r w:rsidRPr="00B250B5">
        <w:rPr>
          <w:rFonts w:cs="Arial"/>
          <w:b/>
          <w:bCs/>
          <w:color w:val="000000"/>
          <w:sz w:val="20"/>
          <w:lang w:val="es-MX"/>
        </w:rPr>
        <w:t>iv)</w:t>
      </w:r>
      <w:r w:rsidRPr="00B250B5">
        <w:rPr>
          <w:rFonts w:cs="Arial"/>
          <w:b/>
          <w:bCs/>
          <w:color w:val="000000"/>
          <w:sz w:val="20"/>
          <w:lang w:val="es-MX"/>
        </w:rPr>
        <w:tab/>
      </w:r>
      <w:r w:rsidRPr="00B250B5">
        <w:rPr>
          <w:rFonts w:cs="Arial"/>
          <w:bCs/>
          <w:color w:val="000000"/>
          <w:sz w:val="20"/>
          <w:lang w:val="es-MX"/>
        </w:rPr>
        <w:t>La evolución del gasto público previsto en los Anexos Transversales a los que se refiere el artículo 41, fracción II, incisos j), o), p), q), r), s), t) y u) de esta Ley.</w:t>
      </w:r>
    </w:p>
    <w:p w:rsidR="004025C6" w:rsidRDefault="004025C6" w:rsidP="004025C6">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Subinciso adicionado DOF 19-01-2012</w:t>
      </w:r>
    </w:p>
    <w:p w:rsidR="004025C6" w:rsidRDefault="004025C6" w:rsidP="004025C6">
      <w:pPr>
        <w:pStyle w:val="Texto"/>
        <w:spacing w:after="0" w:line="240" w:lineRule="auto"/>
        <w:ind w:left="1151" w:hanging="431"/>
        <w:rPr>
          <w:color w:val="000000"/>
          <w:sz w:val="20"/>
          <w:lang w:val="es-MX"/>
        </w:rPr>
      </w:pPr>
    </w:p>
    <w:p w:rsidR="004025C6" w:rsidRDefault="004025C6" w:rsidP="004025C6">
      <w:pPr>
        <w:pStyle w:val="Texto"/>
        <w:spacing w:after="0" w:line="240" w:lineRule="auto"/>
        <w:ind w:left="1151" w:hanging="431"/>
        <w:rPr>
          <w:color w:val="000000"/>
          <w:sz w:val="20"/>
          <w:lang w:val="es-MX"/>
        </w:rPr>
      </w:pPr>
      <w:r>
        <w:rPr>
          <w:b/>
          <w:bCs/>
          <w:color w:val="000000"/>
          <w:sz w:val="20"/>
          <w:lang w:val="es-MX"/>
        </w:rPr>
        <w:t xml:space="preserve">c) </w:t>
      </w:r>
      <w:r>
        <w:rPr>
          <w:b/>
          <w:bCs/>
          <w:color w:val="000000"/>
          <w:sz w:val="20"/>
          <w:lang w:val="es-MX"/>
        </w:rPr>
        <w:tab/>
      </w:r>
      <w:r>
        <w:rPr>
          <w:color w:val="000000"/>
          <w:sz w:val="20"/>
          <w:lang w:val="es-MX"/>
        </w:rPr>
        <w:t>Un informe que contenga la evolución detallada de la deuda pública en el trimestre, incluyendo los montos de endeudamiento interno neto, el canje o refinanciamiento de obligaciones del Erario Federal, en los términos de la Ley General de Deuda Pública, y el costo total de las emisiones de deuda pública interna y externa.</w:t>
      </w:r>
    </w:p>
    <w:p w:rsidR="004025C6" w:rsidRDefault="004025C6" w:rsidP="004025C6">
      <w:pPr>
        <w:pStyle w:val="Texto"/>
        <w:spacing w:after="0" w:line="240" w:lineRule="auto"/>
        <w:ind w:left="1151" w:hanging="431"/>
        <w:rPr>
          <w:color w:val="000000"/>
          <w:sz w:val="20"/>
          <w:lang w:val="es-MX"/>
        </w:rPr>
      </w:pPr>
    </w:p>
    <w:p w:rsidR="004025C6" w:rsidRDefault="004025C6" w:rsidP="004025C6">
      <w:pPr>
        <w:pStyle w:val="Texto"/>
        <w:spacing w:after="0" w:line="240" w:lineRule="auto"/>
        <w:ind w:left="1151" w:firstLine="0"/>
        <w:rPr>
          <w:color w:val="000000"/>
          <w:sz w:val="20"/>
          <w:lang w:val="es-MX"/>
        </w:rPr>
      </w:pPr>
      <w:r>
        <w:rPr>
          <w:color w:val="000000"/>
          <w:sz w:val="20"/>
          <w:lang w:val="es-MX"/>
        </w:rPr>
        <w:t>La información sobre el costo total de las emisiones de deuda interna y externa deberá identificar por separado el pago de las comisiones y gastos inherentes a la emisión, de los del pago a efectuar por intereses. Estos deberán diferenciarse de la tasa de interés que se pagará por los empréstitos y bonos colocados. Asimismo, deberá informar sobre la tasa de interés o rendimiento que pagará cada emisión, de las comisiones, el plazo, y el monto de la emisión, presentando un perfil de vencimientos para la deuda pública interna y externa, así como la evolución de las garantías otorgadas por el Gobierno Federal.</w:t>
      </w:r>
    </w:p>
    <w:p w:rsidR="004025C6" w:rsidRDefault="004025C6" w:rsidP="004025C6">
      <w:pPr>
        <w:pStyle w:val="Texto"/>
        <w:spacing w:after="0" w:line="240" w:lineRule="auto"/>
        <w:ind w:left="1151" w:hanging="431"/>
        <w:rPr>
          <w:color w:val="000000"/>
          <w:sz w:val="20"/>
          <w:lang w:val="es-MX"/>
        </w:rPr>
      </w:pPr>
    </w:p>
    <w:p w:rsidR="004025C6" w:rsidRDefault="004025C6" w:rsidP="004025C6">
      <w:pPr>
        <w:pStyle w:val="Texto"/>
        <w:spacing w:after="0" w:line="240" w:lineRule="auto"/>
        <w:ind w:left="1151" w:firstLine="0"/>
        <w:rPr>
          <w:color w:val="000000"/>
          <w:sz w:val="20"/>
          <w:lang w:val="es-MX"/>
        </w:rPr>
      </w:pPr>
      <w:r>
        <w:rPr>
          <w:color w:val="000000"/>
          <w:sz w:val="20"/>
          <w:lang w:val="es-MX"/>
        </w:rPr>
        <w:t>Se incluirá también un informe de las erogaciones derivadas de operaciones y programas de saneamiento financieros y de los programas de apoyo a ahorradores y deudores de la banca. Adicionalmente, en dicho informe se incluirá un apartado que refiera las operaciones activas y pasivas del Instituto de Protección al Ahorro Bancario, así como de su posición financiera, incluyendo aquéllas relativas a la enajenación de bienes, colocación de valores y apoyos otorgados.</w:t>
      </w:r>
    </w:p>
    <w:p w:rsidR="004025C6" w:rsidRDefault="004025C6" w:rsidP="004025C6">
      <w:pPr>
        <w:pStyle w:val="Texto"/>
        <w:spacing w:after="0" w:line="240" w:lineRule="auto"/>
        <w:ind w:left="1151" w:hanging="431"/>
        <w:rPr>
          <w:color w:val="000000"/>
          <w:sz w:val="20"/>
          <w:lang w:val="es-MX"/>
        </w:rPr>
      </w:pPr>
    </w:p>
    <w:p w:rsidR="004025C6" w:rsidRDefault="004025C6" w:rsidP="004025C6">
      <w:pPr>
        <w:pStyle w:val="Texto"/>
        <w:spacing w:after="0" w:line="240" w:lineRule="auto"/>
        <w:ind w:left="1151" w:firstLine="0"/>
        <w:rPr>
          <w:color w:val="000000"/>
          <w:sz w:val="20"/>
          <w:lang w:val="es-MX"/>
        </w:rPr>
      </w:pPr>
      <w:r>
        <w:rPr>
          <w:color w:val="000000"/>
          <w:sz w:val="20"/>
          <w:lang w:val="es-MX"/>
        </w:rPr>
        <w:t>Este informe incluirá un apartado sobre los pasivos contingentes que se hubieran asumido con la garantía del Gobierno Federal, incluyendo los avales distintos de los proyectos de inversión productiva de largo plazo otorgados.</w:t>
      </w:r>
    </w:p>
    <w:p w:rsidR="004025C6" w:rsidRDefault="004025C6" w:rsidP="004025C6">
      <w:pPr>
        <w:pStyle w:val="Texto"/>
        <w:spacing w:after="0" w:line="240" w:lineRule="auto"/>
        <w:ind w:left="1151" w:hanging="431"/>
        <w:rPr>
          <w:color w:val="000000"/>
          <w:sz w:val="20"/>
          <w:lang w:val="es-MX"/>
        </w:rPr>
      </w:pPr>
    </w:p>
    <w:p w:rsidR="004025C6" w:rsidRDefault="004025C6" w:rsidP="004025C6">
      <w:pPr>
        <w:pStyle w:val="Texto"/>
        <w:spacing w:after="0" w:line="240" w:lineRule="auto"/>
        <w:ind w:left="1151" w:firstLine="0"/>
        <w:rPr>
          <w:color w:val="000000"/>
          <w:sz w:val="20"/>
          <w:lang w:val="es-MX"/>
        </w:rPr>
      </w:pPr>
      <w:r>
        <w:rPr>
          <w:color w:val="000000"/>
          <w:sz w:val="20"/>
          <w:lang w:val="es-MX"/>
        </w:rPr>
        <w:t>De igual forma, incluirá un informe sobre el uso de recursos financieros de la banca de desarrollo y fondos de fomento para financiar al sector privado y social, detallando el balance de operación y el otorgamiento de créditos, así como sus fuentes de financiamiento, así como se reportará sobre las comisiones de compromiso pagadas por los créditos internos y externos contratados;</w:t>
      </w:r>
    </w:p>
    <w:p w:rsidR="004025C6" w:rsidRDefault="004025C6" w:rsidP="004025C6">
      <w:pPr>
        <w:pStyle w:val="Texto"/>
        <w:spacing w:after="0" w:line="240" w:lineRule="auto"/>
        <w:ind w:left="1151" w:hanging="431"/>
        <w:rPr>
          <w:color w:val="000000"/>
          <w:sz w:val="20"/>
          <w:lang w:val="es-MX"/>
        </w:rPr>
      </w:pPr>
    </w:p>
    <w:p w:rsidR="004025C6" w:rsidRDefault="004025C6" w:rsidP="004025C6">
      <w:pPr>
        <w:pStyle w:val="Texto"/>
        <w:spacing w:after="0" w:line="240" w:lineRule="auto"/>
        <w:ind w:left="1151" w:hanging="431"/>
        <w:rPr>
          <w:color w:val="000000"/>
          <w:sz w:val="20"/>
          <w:lang w:val="es-MX"/>
        </w:rPr>
      </w:pPr>
      <w:r>
        <w:rPr>
          <w:b/>
          <w:bCs/>
          <w:color w:val="000000"/>
          <w:sz w:val="20"/>
          <w:lang w:val="es-MX"/>
        </w:rPr>
        <w:t xml:space="preserve">d) </w:t>
      </w:r>
      <w:r>
        <w:rPr>
          <w:b/>
          <w:bCs/>
          <w:color w:val="000000"/>
          <w:sz w:val="20"/>
          <w:lang w:val="es-MX"/>
        </w:rPr>
        <w:tab/>
      </w:r>
      <w:r>
        <w:rPr>
          <w:color w:val="000000"/>
          <w:sz w:val="20"/>
          <w:lang w:val="es-MX"/>
        </w:rPr>
        <w:t>La evolución de los proyectos de infraestructura productiva de largo plazo, que incluya:</w:t>
      </w:r>
    </w:p>
    <w:p w:rsidR="004025C6" w:rsidRDefault="004025C6" w:rsidP="004025C6">
      <w:pPr>
        <w:pStyle w:val="Texto"/>
        <w:spacing w:after="0" w:line="240" w:lineRule="auto"/>
        <w:ind w:left="1151" w:hanging="431"/>
        <w:rPr>
          <w:color w:val="000000"/>
          <w:sz w:val="20"/>
          <w:lang w:val="es-MX"/>
        </w:rPr>
      </w:pPr>
    </w:p>
    <w:p w:rsidR="004025C6" w:rsidRDefault="004025C6" w:rsidP="004025C6">
      <w:pPr>
        <w:pStyle w:val="Texto"/>
        <w:spacing w:after="0" w:line="240" w:lineRule="auto"/>
        <w:ind w:left="1582" w:hanging="431"/>
        <w:rPr>
          <w:color w:val="000000"/>
          <w:sz w:val="20"/>
          <w:lang w:val="es-MX"/>
        </w:rPr>
      </w:pPr>
      <w:r>
        <w:rPr>
          <w:b/>
          <w:bCs/>
          <w:color w:val="000000"/>
          <w:sz w:val="20"/>
          <w:lang w:val="es-MX"/>
        </w:rPr>
        <w:t xml:space="preserve">i) </w:t>
      </w:r>
      <w:r>
        <w:rPr>
          <w:b/>
          <w:bCs/>
          <w:color w:val="000000"/>
          <w:sz w:val="20"/>
          <w:lang w:val="es-MX"/>
        </w:rPr>
        <w:tab/>
      </w:r>
      <w:r>
        <w:rPr>
          <w:color w:val="000000"/>
          <w:sz w:val="20"/>
          <w:lang w:val="es-MX"/>
        </w:rPr>
        <w:t>Una contabilidad separada con el objeto de identificar los ingresos asociados a dichos proyectos;</w:t>
      </w:r>
    </w:p>
    <w:p w:rsidR="004025C6" w:rsidRDefault="004025C6" w:rsidP="004025C6">
      <w:pPr>
        <w:pStyle w:val="Texto"/>
        <w:spacing w:after="0" w:line="240" w:lineRule="auto"/>
        <w:ind w:left="1582" w:hanging="431"/>
        <w:rPr>
          <w:color w:val="000000"/>
          <w:sz w:val="20"/>
          <w:lang w:val="es-MX"/>
        </w:rPr>
      </w:pPr>
    </w:p>
    <w:p w:rsidR="004025C6" w:rsidRDefault="004025C6" w:rsidP="004025C6">
      <w:pPr>
        <w:pStyle w:val="Texto"/>
        <w:spacing w:after="0" w:line="240" w:lineRule="auto"/>
        <w:ind w:left="1582" w:hanging="431"/>
        <w:rPr>
          <w:color w:val="000000"/>
          <w:sz w:val="20"/>
          <w:lang w:val="es-MX"/>
        </w:rPr>
      </w:pPr>
      <w:r>
        <w:rPr>
          <w:b/>
          <w:bCs/>
          <w:color w:val="000000"/>
          <w:sz w:val="20"/>
          <w:lang w:val="es-MX"/>
        </w:rPr>
        <w:t xml:space="preserve">ii) </w:t>
      </w:r>
      <w:r>
        <w:rPr>
          <w:b/>
          <w:bCs/>
          <w:color w:val="000000"/>
          <w:sz w:val="20"/>
          <w:lang w:val="es-MX"/>
        </w:rPr>
        <w:tab/>
      </w:r>
      <w:r>
        <w:rPr>
          <w:color w:val="000000"/>
          <w:sz w:val="20"/>
          <w:lang w:val="es-MX"/>
        </w:rPr>
        <w:t>Los costos de los proyectos y las amortizaciones derivadas de los mismos, y</w:t>
      </w:r>
    </w:p>
    <w:p w:rsidR="004025C6" w:rsidRDefault="004025C6" w:rsidP="004025C6">
      <w:pPr>
        <w:pStyle w:val="Texto"/>
        <w:spacing w:after="0" w:line="240" w:lineRule="auto"/>
        <w:ind w:left="1582" w:hanging="431"/>
        <w:rPr>
          <w:color w:val="000000"/>
          <w:sz w:val="20"/>
          <w:lang w:val="es-MX"/>
        </w:rPr>
      </w:pPr>
    </w:p>
    <w:p w:rsidR="004025C6" w:rsidRDefault="004025C6" w:rsidP="004025C6">
      <w:pPr>
        <w:pStyle w:val="Texto"/>
        <w:spacing w:after="0" w:line="240" w:lineRule="auto"/>
        <w:ind w:left="1582" w:hanging="431"/>
        <w:rPr>
          <w:color w:val="000000"/>
          <w:sz w:val="20"/>
          <w:lang w:val="es-MX"/>
        </w:rPr>
      </w:pPr>
      <w:r>
        <w:rPr>
          <w:b/>
          <w:bCs/>
          <w:color w:val="000000"/>
          <w:sz w:val="20"/>
          <w:lang w:val="es-MX"/>
        </w:rPr>
        <w:t xml:space="preserve">iii) </w:t>
      </w:r>
      <w:r>
        <w:rPr>
          <w:b/>
          <w:bCs/>
          <w:color w:val="000000"/>
          <w:sz w:val="20"/>
          <w:lang w:val="es-MX"/>
        </w:rPr>
        <w:tab/>
      </w:r>
      <w:r>
        <w:rPr>
          <w:color w:val="000000"/>
          <w:sz w:val="20"/>
          <w:lang w:val="es-MX"/>
        </w:rPr>
        <w:t>Un análisis que permita conocer el monto, a valor presente, de la posición financiera del Gobierno Federal y las entidades con respecto a los proyectos de que se trate.</w:t>
      </w:r>
    </w:p>
    <w:p w:rsidR="004025C6" w:rsidRDefault="004025C6" w:rsidP="004025C6">
      <w:pPr>
        <w:pStyle w:val="Texto"/>
        <w:spacing w:after="0" w:line="240" w:lineRule="auto"/>
        <w:ind w:left="1151" w:hanging="431"/>
        <w:rPr>
          <w:color w:val="000000"/>
          <w:sz w:val="20"/>
          <w:lang w:val="es-MX"/>
        </w:rPr>
      </w:pPr>
    </w:p>
    <w:p w:rsidR="004025C6" w:rsidRDefault="004025C6" w:rsidP="004025C6">
      <w:pPr>
        <w:pStyle w:val="Texto"/>
        <w:spacing w:after="0" w:line="240" w:lineRule="auto"/>
        <w:ind w:left="1151" w:hanging="431"/>
        <w:rPr>
          <w:color w:val="000000"/>
          <w:sz w:val="20"/>
          <w:lang w:val="es-MX"/>
        </w:rPr>
      </w:pPr>
      <w:r>
        <w:rPr>
          <w:b/>
          <w:bCs/>
          <w:color w:val="000000"/>
          <w:sz w:val="20"/>
          <w:lang w:val="es-MX"/>
        </w:rPr>
        <w:t xml:space="preserve">e) </w:t>
      </w:r>
      <w:r>
        <w:rPr>
          <w:b/>
          <w:bCs/>
          <w:color w:val="000000"/>
          <w:sz w:val="20"/>
          <w:lang w:val="es-MX"/>
        </w:rPr>
        <w:tab/>
      </w:r>
      <w:r>
        <w:rPr>
          <w:color w:val="000000"/>
          <w:sz w:val="20"/>
          <w:lang w:val="es-MX"/>
        </w:rPr>
        <w:t>Los montos correspondientes a los requerimientos financieros del sector público, incluyendo su saldo histórico.</w:t>
      </w:r>
    </w:p>
    <w:p w:rsidR="004025C6" w:rsidRDefault="004025C6" w:rsidP="004025C6">
      <w:pPr>
        <w:pStyle w:val="Texto"/>
        <w:spacing w:after="0" w:line="240" w:lineRule="auto"/>
        <w:ind w:left="1151" w:hanging="431"/>
        <w:rPr>
          <w:color w:val="000000"/>
          <w:sz w:val="20"/>
          <w:lang w:val="es-MX"/>
        </w:rPr>
      </w:pPr>
    </w:p>
    <w:p w:rsidR="004025C6" w:rsidRDefault="004025C6" w:rsidP="004025C6">
      <w:pPr>
        <w:pStyle w:val="Texto"/>
        <w:spacing w:after="0" w:line="240" w:lineRule="auto"/>
        <w:ind w:left="1151" w:hanging="431"/>
        <w:rPr>
          <w:sz w:val="20"/>
        </w:rPr>
      </w:pPr>
      <w:r>
        <w:rPr>
          <w:b/>
          <w:sz w:val="20"/>
        </w:rPr>
        <w:t>f)</w:t>
      </w:r>
      <w:r>
        <w:rPr>
          <w:sz w:val="20"/>
        </w:rPr>
        <w:t xml:space="preserve"> </w:t>
      </w:r>
      <w:r>
        <w:rPr>
          <w:sz w:val="20"/>
        </w:rPr>
        <w:tab/>
        <w:t>La evolución de los proyectos de inversión en infraestructura que cuenten con erogaciones plurianuales aprobadas en términos del artículo 74, fracción IV, de la Constitución Política de los Estados Unidos Mexicanos;</w:t>
      </w:r>
    </w:p>
    <w:p w:rsidR="004025C6" w:rsidRDefault="004025C6" w:rsidP="004025C6">
      <w:pPr>
        <w:pStyle w:val="Textosinformato"/>
        <w:ind w:left="720" w:hanging="431"/>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Inciso adicionado DOF 01-10-2007</w:t>
      </w:r>
    </w:p>
    <w:p w:rsidR="004025C6" w:rsidRDefault="004025C6" w:rsidP="004025C6">
      <w:pPr>
        <w:pStyle w:val="Texto"/>
        <w:spacing w:after="0" w:line="240" w:lineRule="auto"/>
        <w:ind w:left="720" w:hanging="431"/>
        <w:rPr>
          <w:color w:val="000000"/>
          <w:sz w:val="20"/>
          <w:lang w:val="es-MX"/>
        </w:rPr>
      </w:pPr>
    </w:p>
    <w:p w:rsidR="004025C6" w:rsidRDefault="004025C6" w:rsidP="004025C6">
      <w:pPr>
        <w:pStyle w:val="Texto"/>
        <w:spacing w:after="0" w:line="240" w:lineRule="auto"/>
        <w:ind w:left="720" w:hanging="431"/>
        <w:rPr>
          <w:color w:val="000000"/>
          <w:sz w:val="20"/>
          <w:lang w:val="es-MX"/>
        </w:rPr>
      </w:pPr>
      <w:r>
        <w:rPr>
          <w:b/>
          <w:bCs/>
          <w:color w:val="000000"/>
          <w:sz w:val="20"/>
          <w:lang w:val="es-MX"/>
        </w:rPr>
        <w:t xml:space="preserve">II. </w:t>
      </w:r>
      <w:r>
        <w:rPr>
          <w:b/>
          <w:bCs/>
          <w:color w:val="000000"/>
          <w:sz w:val="20"/>
          <w:lang w:val="es-MX"/>
        </w:rPr>
        <w:tab/>
      </w:r>
      <w:r>
        <w:rPr>
          <w:color w:val="000000"/>
          <w:sz w:val="20"/>
          <w:lang w:val="es-MX"/>
        </w:rPr>
        <w:t>Informes mensuales sobre los montos de endeudamiento interno neto, el canje o refinanciamiento de obligaciones del Erario Federal, en los términos de la Ley General de Deuda Pública, y el costo total de las emisiones de deuda interna y externa. La información sobre el costo total de las emisiones de deuda interna y externa deberá identificar por separado el pago de las comisiones y gastos inherentes a la emisión, de los del pago a efectuar por intereses. Estos deberán diferenciarse de la tasa de interés que se pagará por los empréstitos y bonos colocados. Dichos informes deberán presentarse a las Comisiones de Hacienda y Crédito Público del Congreso de la Unión, 30 días después del mes de que se trate.</w:t>
      </w:r>
    </w:p>
    <w:p w:rsidR="004025C6" w:rsidRDefault="004025C6" w:rsidP="004025C6">
      <w:pPr>
        <w:pStyle w:val="Texto"/>
        <w:spacing w:after="0" w:line="240" w:lineRule="auto"/>
        <w:rPr>
          <w:color w:val="000000"/>
          <w:sz w:val="20"/>
          <w:lang w:val="es-MX"/>
        </w:rPr>
      </w:pPr>
    </w:p>
    <w:p w:rsidR="004025C6" w:rsidRDefault="004025C6" w:rsidP="004025C6">
      <w:pPr>
        <w:pStyle w:val="Texto"/>
        <w:spacing w:after="0" w:line="240" w:lineRule="auto"/>
        <w:rPr>
          <w:color w:val="000000"/>
          <w:sz w:val="20"/>
          <w:lang w:val="es-MX"/>
        </w:rPr>
      </w:pPr>
      <w:r>
        <w:rPr>
          <w:color w:val="000000"/>
          <w:sz w:val="20"/>
          <w:lang w:val="es-MX"/>
        </w:rPr>
        <w:t>La Secretaría informará a la Cámara de Diputados, por conducto de la Comisión de Hacienda y Crédito Público, 30 días después de concluido el mes de que se trate, sobre la recaudación federal participable que sirvió de base para el cálculo del pago de las participaciones a las entidades federativas. La recaudación federal participable se calculará de acuerdo con lo previsto en la Ley de Coordinación Fiscal. La recaudación federal participable se comparará con la correspondiente al mismo mes del año previo y con el programa, y se incluirá una explicación detallada de su evolución.</w:t>
      </w:r>
    </w:p>
    <w:p w:rsidR="004025C6" w:rsidRDefault="004025C6" w:rsidP="004025C6">
      <w:pPr>
        <w:pStyle w:val="Texto"/>
        <w:spacing w:after="0" w:line="240" w:lineRule="auto"/>
        <w:rPr>
          <w:color w:val="000000"/>
          <w:sz w:val="20"/>
          <w:lang w:val="es-MX"/>
        </w:rPr>
      </w:pPr>
    </w:p>
    <w:p w:rsidR="004025C6" w:rsidRDefault="004025C6" w:rsidP="004025C6">
      <w:pPr>
        <w:pStyle w:val="Texto"/>
        <w:spacing w:after="0" w:line="240" w:lineRule="auto"/>
        <w:rPr>
          <w:color w:val="000000"/>
          <w:sz w:val="20"/>
          <w:lang w:val="es-MX"/>
        </w:rPr>
      </w:pPr>
      <w:r>
        <w:rPr>
          <w:color w:val="000000"/>
          <w:sz w:val="20"/>
          <w:lang w:val="es-MX"/>
        </w:rPr>
        <w:t>Asimismo la Secretaría informará a la Cámara de Diputados, por conducto de la Comisión de Hacienda y Crédito Público y de la Comisión de Presupuesto y Cuenta Pública, 15 días naturales después de concluido el mes, acerca del pago de las participaciones a las entidades federativas. Esta información deberá estar desagregada por tipo de fondo, de acuerdo con lo establecido en la Ley de Coordinación Fiscal, y por entidad federativa. Este monto pagado de participaciones se comparará con el correspondiente al del mismo mes de año previo. La Secretaría deberá proporcionar la información a que se refiere este párrafo y el anterior a las entidades federativas, a través del Comité de Vigilancia del Sistema de Participaciones de Ingresos Federales de la Comisión Permanente de Funcionarios Fiscales, a más tardar 15 días después de concluido el mes correspondiente y deberá publicarla en su página electrónica.</w:t>
      </w:r>
    </w:p>
    <w:p w:rsidR="004025C6" w:rsidRDefault="004025C6" w:rsidP="004025C6">
      <w:pPr>
        <w:pStyle w:val="Texto"/>
        <w:spacing w:after="0" w:line="240" w:lineRule="auto"/>
        <w:rPr>
          <w:color w:val="000000"/>
          <w:sz w:val="20"/>
          <w:lang w:val="es-MX"/>
        </w:rPr>
      </w:pPr>
    </w:p>
    <w:p w:rsidR="004025C6" w:rsidRDefault="004025C6" w:rsidP="004025C6">
      <w:pPr>
        <w:pStyle w:val="Texto"/>
        <w:spacing w:after="0" w:line="240" w:lineRule="auto"/>
        <w:rPr>
          <w:color w:val="000000"/>
          <w:sz w:val="20"/>
          <w:lang w:val="es-MX"/>
        </w:rPr>
      </w:pPr>
      <w:r>
        <w:rPr>
          <w:color w:val="000000"/>
          <w:sz w:val="20"/>
          <w:lang w:val="es-MX"/>
        </w:rPr>
        <w:t>La Secretaría presentará al Congreso de la Unión los datos estadísticos y la información que tenga disponibles, incluyendo los rubros de información a que se refiere la fracción anterior, que puedan contribuir a una mejor comprensión de la evolución de la recaudación, el endeudamiento, y del gasto público, que los legisladores soliciten por conducto de las Comisiones competentes, así como la que le solicite el Centro de Estudios de las Finanzas Públicas. La Secretaría proporcionará dicha información en un plazo no mayor de 20 días naturales, a partir de la solicitud.</w:t>
      </w:r>
    </w:p>
    <w:p w:rsidR="004025C6" w:rsidRDefault="004025C6" w:rsidP="004025C6">
      <w:pPr>
        <w:pStyle w:val="Texto"/>
        <w:spacing w:after="0" w:line="240" w:lineRule="auto"/>
        <w:rPr>
          <w:color w:val="000000"/>
          <w:sz w:val="20"/>
          <w:lang w:val="es-MX"/>
        </w:rPr>
      </w:pPr>
    </w:p>
    <w:p w:rsidR="004025C6" w:rsidRDefault="004025C6" w:rsidP="004025C6">
      <w:pPr>
        <w:pStyle w:val="Texto"/>
        <w:spacing w:after="0" w:line="240" w:lineRule="auto"/>
        <w:rPr>
          <w:color w:val="000000"/>
          <w:sz w:val="20"/>
          <w:lang w:val="es-MX"/>
        </w:rPr>
      </w:pPr>
      <w:r>
        <w:rPr>
          <w:color w:val="000000"/>
          <w:sz w:val="20"/>
          <w:lang w:val="es-MX"/>
        </w:rPr>
        <w:t>La información que la Secretaría proporcione al Congreso de la Unión deberá ser completa y oportuna. En caso de incumplimiento procederán las responsabilidades que correspondan.</w:t>
      </w:r>
    </w:p>
    <w:p w:rsidR="004025C6" w:rsidRDefault="004025C6" w:rsidP="004025C6">
      <w:pPr>
        <w:pStyle w:val="Texto"/>
        <w:spacing w:after="0" w:line="240" w:lineRule="auto"/>
        <w:rPr>
          <w:color w:val="000000"/>
          <w:sz w:val="20"/>
          <w:lang w:val="es-MX"/>
        </w:rPr>
      </w:pPr>
    </w:p>
    <w:p w:rsidR="004025C6" w:rsidRPr="00212E75" w:rsidRDefault="004025C6" w:rsidP="004025C6">
      <w:pPr>
        <w:pStyle w:val="Texto"/>
        <w:spacing w:after="0" w:line="240" w:lineRule="auto"/>
        <w:rPr>
          <w:rFonts w:cs="Arial"/>
          <w:sz w:val="20"/>
          <w:szCs w:val="20"/>
        </w:rPr>
      </w:pPr>
      <w:r w:rsidRPr="00212E75">
        <w:rPr>
          <w:rFonts w:cs="Arial"/>
          <w:sz w:val="20"/>
          <w:szCs w:val="20"/>
        </w:rPr>
        <w:t>La Cuenta Pública deberá contener los resultados del ejercicio del Presupuesto establecido en los Anexos Transversales a los que se refiere el artículo 41, fracción II, incisos j), o), p), q), r), s), t) y u) de esta Ley, en los mismos términos y el mismo grado de desagregación en los que se presente la evolución del gasto público al que hace referencia el sub inciso iv), inciso b), fracción I del presente artículo.</w:t>
      </w:r>
    </w:p>
    <w:p w:rsidR="004025C6" w:rsidRDefault="004025C6" w:rsidP="004025C6">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adicionado DOF 19-01-2012</w:t>
      </w:r>
    </w:p>
    <w:p w:rsidR="004025C6" w:rsidRDefault="004025C6" w:rsidP="004025C6">
      <w:pPr>
        <w:pStyle w:val="Texto"/>
        <w:spacing w:after="0" w:line="240" w:lineRule="auto"/>
        <w:rPr>
          <w:color w:val="000000"/>
          <w:sz w:val="20"/>
          <w:lang w:val="es-MX"/>
        </w:rPr>
      </w:pPr>
    </w:p>
    <w:p w:rsidR="004025C6" w:rsidRDefault="004025C6" w:rsidP="004025C6">
      <w:pPr>
        <w:pStyle w:val="Texto"/>
        <w:spacing w:after="0" w:line="240" w:lineRule="auto"/>
        <w:rPr>
          <w:color w:val="000000"/>
          <w:sz w:val="20"/>
          <w:lang w:val="es-MX"/>
        </w:rPr>
      </w:pPr>
      <w:r>
        <w:rPr>
          <w:b/>
          <w:bCs/>
          <w:color w:val="000000"/>
          <w:sz w:val="20"/>
          <w:lang w:val="es-MX"/>
        </w:rPr>
        <w:t xml:space="preserve">Artículo 108.- </w:t>
      </w:r>
      <w:r>
        <w:rPr>
          <w:color w:val="000000"/>
          <w:sz w:val="20"/>
          <w:lang w:val="es-MX"/>
        </w:rPr>
        <w:t>La Secretaría, la Función Pública y el Banco de México, en el ámbito de sus respectivas competencias, establecerán los lineamientos relativos al funcionamiento, organización y requerimientos del sistema integral de información de los ingresos y gasto público. Las Comisiones de Hacienda y Crédito Público y de Presupuesto y Cuenta Pública de la Cámara de Diputados tendrán acceso a este Sistema con las limitaciones que establecen las leyes.</w:t>
      </w:r>
    </w:p>
    <w:p w:rsidR="004025C6" w:rsidRDefault="004025C6" w:rsidP="004025C6">
      <w:pPr>
        <w:pStyle w:val="Texto"/>
        <w:spacing w:after="0" w:line="240" w:lineRule="auto"/>
        <w:rPr>
          <w:color w:val="000000"/>
          <w:sz w:val="20"/>
          <w:lang w:val="es-MX"/>
        </w:rPr>
      </w:pPr>
    </w:p>
    <w:p w:rsidR="004025C6" w:rsidRDefault="004025C6" w:rsidP="004025C6">
      <w:pPr>
        <w:pStyle w:val="Texto"/>
        <w:spacing w:after="0" w:line="240" w:lineRule="auto"/>
        <w:rPr>
          <w:color w:val="000000"/>
          <w:sz w:val="20"/>
          <w:lang w:val="es-MX"/>
        </w:rPr>
      </w:pPr>
      <w:r>
        <w:rPr>
          <w:color w:val="000000"/>
          <w:sz w:val="20"/>
          <w:lang w:val="es-MX"/>
        </w:rPr>
        <w:lastRenderedPageBreak/>
        <w:t>Los servidores públicos de los ejecutores de gasto que, conforme al Reglamento, tengan acceso a la información de carácter reservado del sistema a que se refiere este artículo estarán obligados a guardar estricta confidencialidad sobre la misma; en caso de que no observen lo anterior, les serán impuestas las sanciones que procedan en los términos de la Ley Federal de Responsabilidades Administrativas de los Servidores Públicos, sin perjuicio de las sanciones previstas en esta Ley y en las demás disposiciones generales aplicables.</w:t>
      </w:r>
    </w:p>
    <w:p w:rsidR="004025C6" w:rsidRDefault="004025C6" w:rsidP="004025C6">
      <w:pPr>
        <w:pStyle w:val="Texto"/>
        <w:spacing w:after="0" w:line="240" w:lineRule="auto"/>
        <w:rPr>
          <w:color w:val="000000"/>
          <w:sz w:val="20"/>
          <w:lang w:val="es-MX"/>
        </w:rPr>
      </w:pPr>
    </w:p>
    <w:p w:rsidR="004025C6" w:rsidRDefault="004025C6" w:rsidP="004025C6">
      <w:pPr>
        <w:pStyle w:val="Texto"/>
        <w:spacing w:after="0" w:line="240" w:lineRule="auto"/>
        <w:rPr>
          <w:color w:val="000000"/>
          <w:sz w:val="20"/>
          <w:lang w:val="es-MX"/>
        </w:rPr>
      </w:pPr>
      <w:r>
        <w:rPr>
          <w:b/>
          <w:bCs/>
          <w:color w:val="000000"/>
          <w:sz w:val="20"/>
          <w:lang w:val="es-MX"/>
        </w:rPr>
        <w:t xml:space="preserve">Artículo 109.- </w:t>
      </w:r>
      <w:r>
        <w:rPr>
          <w:color w:val="000000"/>
          <w:sz w:val="20"/>
          <w:lang w:val="es-MX"/>
        </w:rPr>
        <w:t>La información de la cartera de programas y proyectos de inversión, así como la relativa a los análisis costo y beneficio, a que se refiere el artículo 34 de esta Ley, se pondrá a disposición del público en general a través de medios electrónicos, con excepción de aquélla que, por su naturaleza, la dependencia o entidad considere como reservada. En todo caso, se observarán las disposiciones contenidas en la Ley Federal de Transparencia y Acceso a la Información Pública Gubernamental.</w:t>
      </w:r>
    </w:p>
    <w:p w:rsidR="004025C6" w:rsidRDefault="004025C6" w:rsidP="004025C6">
      <w:pPr>
        <w:pStyle w:val="Texto"/>
        <w:spacing w:after="0" w:line="240" w:lineRule="auto"/>
        <w:rPr>
          <w:color w:val="000000"/>
          <w:sz w:val="20"/>
          <w:lang w:val="es-MX"/>
        </w:rPr>
      </w:pPr>
    </w:p>
    <w:p w:rsidR="004025C6" w:rsidRDefault="004025C6" w:rsidP="004025C6">
      <w:pPr>
        <w:pStyle w:val="Texto"/>
        <w:spacing w:after="0" w:line="240" w:lineRule="auto"/>
        <w:rPr>
          <w:color w:val="000000"/>
          <w:sz w:val="20"/>
          <w:lang w:val="es-MX"/>
        </w:rPr>
      </w:pPr>
      <w:r>
        <w:rPr>
          <w:color w:val="000000"/>
          <w:sz w:val="20"/>
          <w:lang w:val="es-MX"/>
        </w:rPr>
        <w:t>La Secretaría emitirá las reglas de carácter general para el manejo de información de los activos financieros disponibles de las dependencias y entidades de la administración pública federal. El órgano interno de control de cada dependencia o entidad será el encargado de vigilar que se cumpla con las reglas señaladas.</w:t>
      </w:r>
    </w:p>
    <w:p w:rsidR="00C16F50" w:rsidRDefault="004025C6"/>
    <w:sectPr w:rsidR="00C16F50" w:rsidSect="008220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025C6"/>
    <w:rsid w:val="004025C6"/>
    <w:rsid w:val="005527C8"/>
    <w:rsid w:val="0082209B"/>
    <w:rsid w:val="00CF43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0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4025C6"/>
    <w:pPr>
      <w:spacing w:after="101" w:line="216" w:lineRule="exact"/>
      <w:ind w:firstLine="288"/>
      <w:jc w:val="both"/>
    </w:pPr>
    <w:rPr>
      <w:rFonts w:ascii="Arial" w:eastAsia="Times New Roman" w:hAnsi="Arial" w:cs="Times New Roman"/>
      <w:sz w:val="18"/>
      <w:szCs w:val="18"/>
      <w:lang w:eastAsia="es-ES"/>
    </w:rPr>
  </w:style>
  <w:style w:type="paragraph" w:styleId="Textosinformato">
    <w:name w:val="Plain Text"/>
    <w:basedOn w:val="Normal"/>
    <w:link w:val="TextosinformatoCar"/>
    <w:rsid w:val="004025C6"/>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4025C6"/>
    <w:rPr>
      <w:rFonts w:ascii="Courier New" w:eastAsia="Times New Roman" w:hAnsi="Courier New" w:cs="Courier New"/>
      <w:sz w:val="20"/>
      <w:szCs w:val="20"/>
      <w:lang w:eastAsia="es-ES"/>
    </w:rPr>
  </w:style>
  <w:style w:type="character" w:customStyle="1" w:styleId="TextoCar">
    <w:name w:val="Texto Car"/>
    <w:link w:val="Texto"/>
    <w:locked/>
    <w:rsid w:val="004025C6"/>
    <w:rPr>
      <w:rFonts w:ascii="Arial" w:eastAsia="Times New Roman" w:hAnsi="Arial" w:cs="Times New Roman"/>
      <w:sz w:val="18"/>
      <w:szCs w:val="18"/>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1880</Words>
  <Characters>10343</Characters>
  <Application>Microsoft Office Word</Application>
  <DocSecurity>0</DocSecurity>
  <Lines>86</Lines>
  <Paragraphs>24</Paragraphs>
  <ScaleCrop>false</ScaleCrop>
  <Company/>
  <LinksUpToDate>false</LinksUpToDate>
  <CharactersWithSpaces>12199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dserrano</cp:lastModifiedBy>
  <cp:revision>1</cp:revision>
  <dcterms:created xsi:type="dcterms:W3CDTF">2012-12-18T00:05:00Z</dcterms:created>
  <dcterms:modified xsi:type="dcterms:W3CDTF">2012-12-18T00:05:00Z</dcterms:modified>
</cp:coreProperties>
</file>