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FB7" w:rsidRDefault="00324FB7" w:rsidP="00324FB7">
      <w:pPr>
        <w:pStyle w:val="Texto"/>
        <w:spacing w:after="0" w:line="240" w:lineRule="auto"/>
        <w:ind w:firstLine="0"/>
        <w:jc w:val="center"/>
        <w:rPr>
          <w:b/>
          <w:bCs/>
          <w:color w:val="000000"/>
          <w:sz w:val="22"/>
          <w:lang w:val="es-MX"/>
        </w:rPr>
      </w:pPr>
      <w:r>
        <w:rPr>
          <w:b/>
          <w:bCs/>
          <w:color w:val="000000"/>
          <w:sz w:val="22"/>
          <w:lang w:val="es-MX"/>
        </w:rPr>
        <w:t>CAPÍTULO V</w:t>
      </w:r>
    </w:p>
    <w:p w:rsidR="00324FB7" w:rsidRDefault="00324FB7" w:rsidP="00324FB7">
      <w:pPr>
        <w:pStyle w:val="Texto"/>
        <w:spacing w:after="0" w:line="240" w:lineRule="auto"/>
        <w:ind w:firstLine="0"/>
        <w:jc w:val="center"/>
        <w:rPr>
          <w:b/>
          <w:bCs/>
          <w:color w:val="000000"/>
          <w:sz w:val="22"/>
          <w:lang w:val="es-MX"/>
        </w:rPr>
      </w:pPr>
      <w:r>
        <w:rPr>
          <w:b/>
          <w:bCs/>
          <w:color w:val="000000"/>
          <w:sz w:val="22"/>
          <w:lang w:val="es-MX"/>
        </w:rPr>
        <w:t>De los Servicios Personales</w:t>
      </w:r>
    </w:p>
    <w:p w:rsidR="00324FB7" w:rsidRDefault="00324FB7" w:rsidP="00324FB7">
      <w:pPr>
        <w:pStyle w:val="Texto"/>
        <w:spacing w:after="0" w:line="240" w:lineRule="auto"/>
        <w:ind w:firstLine="0"/>
        <w:jc w:val="center"/>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64.- </w:t>
      </w:r>
      <w:r>
        <w:rPr>
          <w:color w:val="000000"/>
          <w:sz w:val="20"/>
          <w:lang w:val="es-MX"/>
        </w:rPr>
        <w:t>El gasto en servicios personales aprobado en el Presupuesto de Egresos comprende la totalidad de recursos para cubrir:</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 </w:t>
      </w:r>
      <w:r>
        <w:rPr>
          <w:color w:val="000000"/>
          <w:sz w:val="20"/>
          <w:lang w:val="es-MX"/>
        </w:rPr>
        <w:t>Las remuneraciones que constitucional y legalmente correspondan a los servidores públicos de los ejecutores de gasto por concepto de percepciones ordinarias y extraordinarias;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II. </w:t>
      </w:r>
      <w:r>
        <w:rPr>
          <w:color w:val="000000"/>
          <w:sz w:val="20"/>
          <w:lang w:val="es-MX"/>
        </w:rPr>
        <w:t>Las aportaciones de seguridad social;</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III. </w:t>
      </w:r>
      <w:r>
        <w:rPr>
          <w:color w:val="000000"/>
          <w:sz w:val="20"/>
          <w:lang w:val="es-MX"/>
        </w:rPr>
        <w:t>Las primas de los seguros que se contratan en favor de los servidores públicos y demás asignaciones autorizadas en los términos de las normas aplicables, y</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IV. </w:t>
      </w:r>
      <w:r>
        <w:rPr>
          <w:color w:val="000000"/>
          <w:sz w:val="20"/>
          <w:lang w:val="es-MX"/>
        </w:rPr>
        <w:t>Las obligaciones fiscales que generen los pagos a que se refieren las fracciones anteriores, conforme a las disposiciones generales aplicables.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65.- </w:t>
      </w:r>
      <w:r>
        <w:rPr>
          <w:color w:val="000000"/>
          <w:sz w:val="20"/>
          <w:lang w:val="es-MX"/>
        </w:rPr>
        <w:t>Los ejecutores de gasto, al realizar pagos por concepto de servicios personales, deberán observar lo siguiente:</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I. </w:t>
      </w:r>
      <w:r>
        <w:rPr>
          <w:b/>
          <w:bCs/>
          <w:color w:val="000000"/>
          <w:sz w:val="20"/>
          <w:lang w:val="es-MX"/>
        </w:rPr>
        <w:tab/>
      </w:r>
      <w:r>
        <w:rPr>
          <w:color w:val="000000"/>
          <w:sz w:val="20"/>
          <w:lang w:val="es-MX"/>
        </w:rPr>
        <w:t>Sujetarse a su presupuesto aprobado conforme a lo previsto en el artículo 33 de esta Ley;</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II. </w:t>
      </w:r>
      <w:r>
        <w:rPr>
          <w:b/>
          <w:bCs/>
          <w:color w:val="000000"/>
          <w:sz w:val="20"/>
          <w:lang w:val="es-MX"/>
        </w:rPr>
        <w:tab/>
      </w:r>
      <w:r>
        <w:rPr>
          <w:color w:val="000000"/>
          <w:sz w:val="20"/>
          <w:lang w:val="es-MX"/>
        </w:rPr>
        <w:t>Sujetarse a los tabuladores de remuneraciones en los términos previstos en las disposiciones generales aplicables;</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III. </w:t>
      </w:r>
      <w:r>
        <w:rPr>
          <w:b/>
          <w:bCs/>
          <w:color w:val="000000"/>
          <w:sz w:val="20"/>
          <w:lang w:val="es-MX"/>
        </w:rPr>
        <w:tab/>
      </w:r>
      <w:r>
        <w:rPr>
          <w:color w:val="000000"/>
          <w:sz w:val="20"/>
          <w:lang w:val="es-MX"/>
        </w:rPr>
        <w:t xml:space="preserve">En materia de incrementos en las percepciones, deberán sujetarse estrictamente a las previsiones salariales y económicas a que se refiere el artículo 33 </w:t>
      </w:r>
      <w:proofErr w:type="gramStart"/>
      <w:r>
        <w:rPr>
          <w:color w:val="000000"/>
          <w:sz w:val="20"/>
          <w:lang w:val="es-MX"/>
        </w:rPr>
        <w:t>fracción II de esta Ley, aprobadas</w:t>
      </w:r>
      <w:proofErr w:type="gramEnd"/>
      <w:r>
        <w:rPr>
          <w:color w:val="000000"/>
          <w:sz w:val="20"/>
          <w:lang w:val="es-MX"/>
        </w:rPr>
        <w:t xml:space="preserve"> específicamente para este propósito por la Cámara de Diputados en el Presupuesto de Egresos;</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IV. </w:t>
      </w:r>
      <w:r>
        <w:rPr>
          <w:b/>
          <w:bCs/>
          <w:color w:val="000000"/>
          <w:sz w:val="20"/>
          <w:lang w:val="es-MX"/>
        </w:rPr>
        <w:tab/>
      </w:r>
      <w:r>
        <w:rPr>
          <w:color w:val="000000"/>
          <w:sz w:val="20"/>
          <w:lang w:val="es-MX"/>
        </w:rPr>
        <w:t>Sujetarse, en lo que les corresponda, a lo dispuesto en las leyes laborales y las leyes que prevean el establecimiento de servicios profesionales de carrera, así como observar las demás disposiciones generales aplicables. En el caso de las dependencias y entidades, deberán observar adicionalmente la política de servicios personales que establezca el Ejecutivo Federal;</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V. </w:t>
      </w:r>
      <w:r>
        <w:rPr>
          <w:b/>
          <w:bCs/>
          <w:color w:val="000000"/>
          <w:sz w:val="20"/>
          <w:lang w:val="es-MX"/>
        </w:rPr>
        <w:tab/>
      </w:r>
      <w:r>
        <w:rPr>
          <w:color w:val="000000"/>
          <w:sz w:val="20"/>
          <w:lang w:val="es-MX"/>
        </w:rPr>
        <w:t>En materia de percepciones extraordinarias, sujetarse a las disposiciones generales aplicables y obtener las autorizaciones correspondientes.</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firstLine="0"/>
        <w:rPr>
          <w:color w:val="000000"/>
          <w:sz w:val="20"/>
          <w:lang w:val="es-MX"/>
        </w:rPr>
      </w:pPr>
      <w:r>
        <w:rPr>
          <w:color w:val="000000"/>
          <w:sz w:val="20"/>
          <w:lang w:val="es-MX"/>
        </w:rPr>
        <w:t>Las percepciones extraordinarias son aquéllas que no constituyen un ingreso fijo, regular ni permanente, ya que su otorgamiento se encuentra sujeto a requisitos y condiciones variables. Dichos conceptos de pago en ningún caso podrán formar parte integrante de la base de cálculo para efectos de indemnización o liquidación o de prestaciones de seguridad social;</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VI. </w:t>
      </w:r>
      <w:r>
        <w:rPr>
          <w:b/>
          <w:bCs/>
          <w:color w:val="000000"/>
          <w:sz w:val="20"/>
          <w:lang w:val="es-MX"/>
        </w:rPr>
        <w:tab/>
      </w:r>
      <w:r>
        <w:rPr>
          <w:color w:val="000000"/>
          <w:sz w:val="20"/>
          <w:lang w:val="es-MX"/>
        </w:rPr>
        <w:t>Las dependencias deberán cubrir los pagos en los términos autorizados por la Secretaría y, en el caso de las entidades, adicionalmente por acuerdo del órgano de gobierno;</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VII. </w:t>
      </w:r>
      <w:r>
        <w:rPr>
          <w:b/>
          <w:bCs/>
          <w:color w:val="000000"/>
          <w:sz w:val="20"/>
          <w:lang w:val="es-MX"/>
        </w:rPr>
        <w:tab/>
      </w:r>
      <w:r>
        <w:rPr>
          <w:color w:val="000000"/>
          <w:sz w:val="20"/>
          <w:lang w:val="es-MX"/>
        </w:rPr>
        <w:t>Las adecuaciones presupuestarias al gasto en servicios personales deberán realizarse conforme a lo dispuesto en los artículos 57 a 60 y 67 de esta Ley y a las disposiciones que establezca el Reglamento;</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VIII. </w:t>
      </w:r>
      <w:r>
        <w:rPr>
          <w:b/>
          <w:bCs/>
          <w:color w:val="000000"/>
          <w:sz w:val="20"/>
          <w:lang w:val="es-MX"/>
        </w:rPr>
        <w:tab/>
      </w:r>
      <w:r>
        <w:rPr>
          <w:color w:val="000000"/>
          <w:sz w:val="20"/>
          <w:lang w:val="es-MX"/>
        </w:rPr>
        <w:t xml:space="preserve">Abstenerse de contraer obligaciones en materia de servicios personales que impliquen compromisos en subsecuentes ejercicios fiscales, salvo en los casos permitidos en esta Ley. En todo caso, la creación, sustitución de plazas y las nuevas contrataciones sólo procederán cuando se cuente con los recursos previamente autorizados para cubrir todos los gastos inherentes a las contrataciones, incluyendo las obligaciones por concepto de impuestos, aportaciones a seguridad social y demás </w:t>
      </w:r>
      <w:r>
        <w:rPr>
          <w:color w:val="000000"/>
          <w:sz w:val="20"/>
          <w:lang w:val="es-MX"/>
        </w:rPr>
        <w:lastRenderedPageBreak/>
        <w:t>pagos y prestaciones que por ley deban cubrirse. Los recursos para cubrir obligaciones inherentes a las contrataciones que tengan un impacto futuro en el gasto deberán constituirse en reservas que garanticen que dichas obligaciones estén en todo momento plenamente financiadas;</w:t>
      </w:r>
    </w:p>
    <w:p w:rsidR="00324FB7" w:rsidRDefault="00324FB7" w:rsidP="00324FB7">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reformada DOF 01-10-2007</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IX. </w:t>
      </w:r>
      <w:r>
        <w:rPr>
          <w:b/>
          <w:bCs/>
          <w:color w:val="000000"/>
          <w:sz w:val="20"/>
          <w:lang w:val="es-MX"/>
        </w:rPr>
        <w:tab/>
      </w:r>
      <w:r>
        <w:rPr>
          <w:color w:val="000000"/>
          <w:sz w:val="20"/>
          <w:lang w:val="es-MX"/>
        </w:rPr>
        <w:t>Abstenerse de contratar trabajadores eventuales, salvo que tales contrataciones se encuentren previstas en el respectivo presupuesto destinado a servicios personales;</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X. </w:t>
      </w:r>
      <w:r>
        <w:rPr>
          <w:b/>
          <w:bCs/>
          <w:color w:val="000000"/>
          <w:sz w:val="20"/>
          <w:lang w:val="es-MX"/>
        </w:rPr>
        <w:tab/>
      </w:r>
      <w:r>
        <w:rPr>
          <w:color w:val="000000"/>
          <w:sz w:val="20"/>
          <w:lang w:val="es-MX"/>
        </w:rPr>
        <w:t>Sujetarse a las disposiciones generales aplicables para la autorización de los gastos de representación y de las erogaciones necesarias para el desempeño de comisiones oficiales, y</w:t>
      </w:r>
    </w:p>
    <w:p w:rsidR="00324FB7" w:rsidRDefault="00324FB7" w:rsidP="00324FB7">
      <w:pPr>
        <w:pStyle w:val="Texto"/>
        <w:spacing w:after="0" w:line="240" w:lineRule="auto"/>
        <w:ind w:left="833" w:hanging="544"/>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XI. </w:t>
      </w:r>
      <w:r>
        <w:rPr>
          <w:b/>
          <w:bCs/>
          <w:color w:val="000000"/>
          <w:sz w:val="20"/>
          <w:lang w:val="es-MX"/>
        </w:rPr>
        <w:tab/>
      </w:r>
      <w:r>
        <w:rPr>
          <w:color w:val="000000"/>
          <w:sz w:val="20"/>
          <w:lang w:val="es-MX"/>
        </w:rPr>
        <w:t>Las dependencias y entidades deberán sujetarse a la estructura ocupacional o a la plantilla de personal autorizada por la Secretaría y la Función Pública en el ámbito de sus respectivas competencias.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ind w:left="833" w:hanging="544"/>
        <w:rPr>
          <w:color w:val="000000"/>
          <w:sz w:val="20"/>
          <w:lang w:val="es-MX"/>
        </w:rPr>
      </w:pPr>
      <w:r>
        <w:rPr>
          <w:b/>
          <w:bCs/>
          <w:color w:val="000000"/>
          <w:sz w:val="20"/>
          <w:lang w:val="es-MX"/>
        </w:rPr>
        <w:t xml:space="preserve">XII. </w:t>
      </w:r>
      <w:r>
        <w:rPr>
          <w:b/>
          <w:bCs/>
          <w:color w:val="000000"/>
          <w:sz w:val="20"/>
          <w:lang w:val="es-MX"/>
        </w:rPr>
        <w:tab/>
      </w:r>
      <w:r>
        <w:rPr>
          <w:color w:val="000000"/>
          <w:sz w:val="20"/>
          <w:lang w:val="es-MX"/>
        </w:rPr>
        <w:t>Las condiciones de trabajo, los beneficios económicos y las demás prestaciones derivadas de los contratos colectivos de trabajo o que se fijen en las condiciones generales de trabajo de la Administración Pública Federal, no se harán extensivas a favor de los servidores públicos de mandos medios y superiores y personal de enlace.</w:t>
      </w:r>
    </w:p>
    <w:p w:rsidR="00324FB7" w:rsidRDefault="00324FB7" w:rsidP="00324FB7">
      <w:pPr>
        <w:pStyle w:val="Texto"/>
        <w:spacing w:after="0" w:line="240" w:lineRule="auto"/>
        <w:ind w:left="833" w:firstLine="0"/>
        <w:rPr>
          <w:color w:val="000000"/>
          <w:sz w:val="20"/>
          <w:lang w:val="es-MX"/>
        </w:rPr>
      </w:pPr>
    </w:p>
    <w:p w:rsidR="00324FB7" w:rsidRDefault="00324FB7" w:rsidP="00324FB7">
      <w:pPr>
        <w:pStyle w:val="Texto"/>
        <w:spacing w:after="0" w:line="240" w:lineRule="auto"/>
        <w:ind w:left="833" w:firstLine="0"/>
        <w:rPr>
          <w:color w:val="000000"/>
          <w:sz w:val="20"/>
          <w:lang w:val="es-MX"/>
        </w:rPr>
      </w:pPr>
      <w:r>
        <w:rPr>
          <w:color w:val="000000"/>
          <w:sz w:val="20"/>
          <w:lang w:val="es-MX"/>
        </w:rPr>
        <w:t>Los titulares de las entidades, independientemente del régimen laboral que las regule, serán responsables de realizar los actos necesarios y la negociación que sea procedente, durante los procesos de revisión de las condiciones generales de trabajo o de los contratos colectivos de trabajo, así como durante las revisiones de salario anuales, para que los servidores públicos de mando y personal de enlace al servicio de las entidades queden expresamente excluidos del beneficio de las prestaciones aplicables al personal de base, en los términos del artículo 184 de la Ley Federal del Trabajo, en aplicación directa o supletoria según se trate, con excepción de las de seguridad social y protección al salario.</w:t>
      </w:r>
    </w:p>
    <w:p w:rsidR="00324FB7" w:rsidRDefault="00324FB7" w:rsidP="00324FB7">
      <w:pPr>
        <w:pStyle w:val="Textosinformato"/>
        <w:jc w:val="right"/>
        <w:rPr>
          <w:rFonts w:ascii="Times New Roman" w:eastAsia="MS Mincho" w:hAnsi="Times New Roman" w:cs="Times New Roman"/>
          <w:i/>
          <w:iCs/>
          <w:color w:val="0000FF"/>
          <w:sz w:val="16"/>
        </w:rPr>
      </w:pPr>
      <w:r>
        <w:rPr>
          <w:rFonts w:ascii="Times New Roman" w:eastAsia="MS Mincho" w:hAnsi="Times New Roman" w:cs="Times New Roman"/>
          <w:i/>
          <w:iCs/>
          <w:color w:val="0000FF"/>
          <w:sz w:val="16"/>
        </w:rPr>
        <w:t>Fracción adicionada DOF 01-10-2007</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66.- </w:t>
      </w:r>
      <w:r>
        <w:rPr>
          <w:color w:val="000000"/>
          <w:sz w:val="20"/>
          <w:lang w:val="es-MX"/>
        </w:rPr>
        <w:t>La Secretaría y la Función Pública, en el ámbito de sus respectivas competencias, emitirán el manual de percepciones de los servidores públicos de las dependencias y entidades, el cual incluirá el tabulador de percepciones ordinarias y las reglas para su aplicación, conforme a las percepciones autorizadas en el Presupuesto de Egresos. Los Poderes Legislativo y Judicial y los entes autónomos, por conducto de sus respectivas unidades de administración, emitirán sus manuales de remuneraciones incluyendo el tabulador y las reglas correspondientes, conforme a lo señalado anteriormente.</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Los manuales a que se refiere este artículo deberán publicarse en el Diario Oficial de la Federación a más tardar el último día hábil de mayo de cada año.</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67.- </w:t>
      </w:r>
      <w:r>
        <w:rPr>
          <w:color w:val="000000"/>
          <w:sz w:val="20"/>
          <w:lang w:val="es-MX"/>
        </w:rPr>
        <w:t xml:space="preserve">Los movimientos que realicen los ejecutores de gasto a sus estructuras orgánicas, ocupacionales y salariales, así como a las plantillas de personal, deberán realizarse mediante adecuaciones presupuestarias compensadas, las que en ningún caso incrementarán el presupuesto </w:t>
      </w:r>
      <w:proofErr w:type="spellStart"/>
      <w:r>
        <w:rPr>
          <w:color w:val="000000"/>
          <w:sz w:val="20"/>
          <w:lang w:val="es-MX"/>
        </w:rPr>
        <w:t>regularizable</w:t>
      </w:r>
      <w:proofErr w:type="spellEnd"/>
      <w:r>
        <w:rPr>
          <w:color w:val="000000"/>
          <w:sz w:val="20"/>
          <w:lang w:val="es-MX"/>
        </w:rPr>
        <w:t xml:space="preserve"> para servicios personales del ejercicio fiscal inmediato siguiente, salvo en el caso de la creación de plazas conforme a los recursos previstos específicamente para tal fin en el Presupuesto de Egresos en los términos del artículo 33, fracción II de esta Ley.</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En el caso de las dependencias y entidades, adicionalmente a lo dispuesto en el párrafo anterior, deberán observar las disposiciones generales aplicables al servicio profesional de carrera y, en su caso, obtener las autorizaciones correspondientes de la Función Pública.</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68.- </w:t>
      </w:r>
      <w:r>
        <w:rPr>
          <w:color w:val="000000"/>
          <w:sz w:val="20"/>
          <w:lang w:val="es-MX"/>
        </w:rPr>
        <w:t>Los ejecutores de gasto que establezcan percepciones extraordinarias en favor de los servidores públicos a su cargo, por concepto de estímulos al desempeño destacado o reconocimientos e incentivos similares, deberán sujetarse a lo siguiente:</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lastRenderedPageBreak/>
        <w:t xml:space="preserve">I. </w:t>
      </w:r>
      <w:r>
        <w:rPr>
          <w:color w:val="000000"/>
          <w:sz w:val="20"/>
          <w:lang w:val="es-MX"/>
        </w:rPr>
        <w:t>Los estímulos deberán otorgarse en los términos que dispongan el artículo 9 de la Ley de Planeación, la Ley del Servicio Profesional de Carrera en la Administración Pública Federal, la Ley de Premios, Estímulos y Recompensas Civiles, o en las demás leyes que prevean expresamente percepciones extraordinarias similares;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II. </w:t>
      </w:r>
      <w:r>
        <w:rPr>
          <w:color w:val="000000"/>
          <w:sz w:val="20"/>
          <w:lang w:val="es-MX"/>
        </w:rPr>
        <w:t>Los recursos para cubrir los estímulos deberán estar previstos en sus respectivos presupuestos;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III. </w:t>
      </w:r>
      <w:r>
        <w:rPr>
          <w:color w:val="000000"/>
          <w:sz w:val="20"/>
          <w:lang w:val="es-MX"/>
        </w:rPr>
        <w:t>Los esquemas para el otorgamiento de los estímulos en las dependencias y entidades deberán contar con la autorización de la Secretaría, por lo que respecta al control presupuestario, y</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IV. </w:t>
      </w:r>
      <w:r>
        <w:rPr>
          <w:color w:val="000000"/>
          <w:sz w:val="20"/>
          <w:lang w:val="es-MX"/>
        </w:rPr>
        <w:t>Los estímulos sólo podrán ser cubiertos a los servidores públicos que cuenten con nombramiento y ocupen una plaza presupuestaria.</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69.- </w:t>
      </w:r>
      <w:r>
        <w:rPr>
          <w:color w:val="000000"/>
          <w:sz w:val="20"/>
          <w:lang w:val="es-MX"/>
        </w:rPr>
        <w:t>Los ejecutores de gasto podrán celebrar contratos de prestación de servicios profesionales por honorarios con personas físicas con cargo al presupuesto de servicios personales, únicamente cuando se reúnan los siguientes requisitos: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 </w:t>
      </w:r>
      <w:r>
        <w:rPr>
          <w:color w:val="000000"/>
          <w:sz w:val="20"/>
          <w:lang w:val="es-MX"/>
        </w:rPr>
        <w:t>Los recursos destinados a celebrar tales contratos deberán estar expresamente previstos para tal efecto en sus respectivos presupuestos autorizados de servicios personales;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II. </w:t>
      </w:r>
      <w:r>
        <w:rPr>
          <w:color w:val="000000"/>
          <w:sz w:val="20"/>
          <w:lang w:val="es-MX"/>
        </w:rPr>
        <w:t>Los contratos no podrán exceder la vigencia anual de cada Presupuesto de Egresos;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III. </w:t>
      </w:r>
      <w:r>
        <w:rPr>
          <w:color w:val="000000"/>
          <w:sz w:val="20"/>
          <w:lang w:val="es-MX"/>
        </w:rPr>
        <w:t>La persona que se contrate no deberá realizar actividades o funciones equivalentes a las que desempeñe el personal que ocupe una plaza presupuestaria, salvo las excepciones que se prevean en el Reglamento;</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IV. </w:t>
      </w:r>
      <w:r>
        <w:rPr>
          <w:color w:val="000000"/>
          <w:sz w:val="20"/>
          <w:lang w:val="es-MX"/>
        </w:rPr>
        <w:t>El monto mensual bruto que se pacte por concepto de honorarios no podrá rebasar los límites autorizados conforme a los tabuladores que se emitan en los términos de las disposiciones aplicables, quedando bajo la estricta responsabilidad de las dependencias y entidades que la retribución que se fije en el contrato guarde estricta congruencia con las actividades encomendadas al prestador del servicio. En el caso de los Poderes Legislativo y Judicial y de los entes autónomos, no podrán rebasar los límites fijados por sus respectivas unidades de administración.</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Tratándose de las entidades, además se apegarán a los acuerdos de sus respectivos órganos de gobierno, los que deberán observar y cumplir las disposiciones generales aplicables.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La Función Pública emitirá las disposiciones generales y el modelo de contrato correspondiente para las contrataciones por honorarios de las dependencias y entidades.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Los ejecutores de gasto deberán reportar en los informes trimestrales y la Cuenta Pública las contrataciones por honorarios que realicen durante el ejercicio fiscal.</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70.- </w:t>
      </w:r>
      <w:r>
        <w:rPr>
          <w:color w:val="000000"/>
          <w:sz w:val="20"/>
          <w:lang w:val="es-MX"/>
        </w:rPr>
        <w:t>La Secretaría será responsable de establecer y operar un sistema, con el fin de optimizar y uniformar el control presupuestario de los servicios personales.</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La Función Pública contará con un sistema de administración de los recursos humanos de las dependencias y entidades y para tal efecto estará facultada para dictar las normas de su funcionamiento y operación. El registro del personal militar lo llevarán las Secretarías de la Defensa Nacional y de Marina, según corresponda.</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Los Poderes Legislativo y Judicial y los entes autónomos, por conducto de sus respectivas unidades de administración, convendrán con la Secretaría y la Función Pública la manera de coordinarse en el registro del personal de dichos ejecutores de gasto, a efecto de presentar periódicamente la información correspondiente.</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lastRenderedPageBreak/>
        <w:t xml:space="preserve">Artículo 71.- </w:t>
      </w:r>
      <w:r>
        <w:rPr>
          <w:color w:val="000000"/>
          <w:sz w:val="20"/>
          <w:lang w:val="es-MX"/>
        </w:rPr>
        <w:t>Salvo lo previsto en las leyes, el Ejecutivo Federal, por conducto de la Función Pública, determinará en forma expresa y general los casos en que proceda aceptar la compatibilidad para el desempeño de dos o más empleos o comisiones con cargo a los presupuestos de las dependencias y entidades, sin perjuicio del estricto cumplimiento de las tareas, horarios y jornadas de trabajo que correspondan. En todo caso, los interesados podrán optar por el empleo o comisión que les convenga.</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b/>
          <w:bCs/>
          <w:color w:val="000000"/>
          <w:sz w:val="20"/>
          <w:lang w:val="es-MX"/>
        </w:rPr>
        <w:t xml:space="preserve">Artículo 72.- </w:t>
      </w:r>
      <w:r>
        <w:rPr>
          <w:color w:val="000000"/>
          <w:sz w:val="20"/>
          <w:lang w:val="es-MX"/>
        </w:rPr>
        <w:t>La acción para exigir el pago de las remuneraciones prescribirá en un año contado a partir de la fecha en que sean devengados o se tenga derecho a percibirlas. El mismo término será aplicable a las recompensas y las pensiones de gracia a cargo del Erario Federal.</w:t>
      </w:r>
    </w:p>
    <w:p w:rsidR="00324FB7" w:rsidRDefault="00324FB7" w:rsidP="00324FB7">
      <w:pPr>
        <w:pStyle w:val="Texto"/>
        <w:spacing w:after="0" w:line="240" w:lineRule="auto"/>
        <w:rPr>
          <w:color w:val="000000"/>
          <w:sz w:val="20"/>
          <w:lang w:val="es-MX"/>
        </w:rPr>
      </w:pPr>
    </w:p>
    <w:p w:rsidR="00324FB7" w:rsidRDefault="00324FB7" w:rsidP="00324FB7">
      <w:pPr>
        <w:pStyle w:val="Texto"/>
        <w:spacing w:after="0" w:line="240" w:lineRule="auto"/>
        <w:rPr>
          <w:color w:val="000000"/>
          <w:sz w:val="20"/>
          <w:lang w:val="es-MX"/>
        </w:rPr>
      </w:pPr>
      <w:r>
        <w:rPr>
          <w:color w:val="000000"/>
          <w:sz w:val="20"/>
          <w:lang w:val="es-MX"/>
        </w:rPr>
        <w:t>La prescripción sólo se interrumpe por gestión de cobro hecha por escrito.</w:t>
      </w:r>
    </w:p>
    <w:p w:rsidR="00324FB7" w:rsidRDefault="00324FB7" w:rsidP="00324FB7">
      <w:pPr>
        <w:pStyle w:val="Texto"/>
        <w:spacing w:after="0" w:line="240" w:lineRule="auto"/>
        <w:rPr>
          <w:color w:val="000000"/>
          <w:sz w:val="20"/>
          <w:lang w:val="es-MX"/>
        </w:rPr>
      </w:pPr>
    </w:p>
    <w:p w:rsidR="00C16F50" w:rsidRDefault="00324FB7" w:rsidP="00324FB7">
      <w:r>
        <w:rPr>
          <w:b/>
          <w:bCs/>
          <w:color w:val="000000"/>
          <w:sz w:val="20"/>
          <w:lang w:val="es-MX"/>
        </w:rPr>
        <w:t xml:space="preserve">Artículo 73.- </w:t>
      </w:r>
      <w:r>
        <w:rPr>
          <w:color w:val="000000"/>
          <w:sz w:val="20"/>
          <w:lang w:val="es-MX"/>
        </w:rPr>
        <w:t>Cuando algún servidor público fallezca y tuviere cuando menos una antigüedad en el servicio de seis meses, los familiares o quienes hayan vivido con él en la fecha del fallecimiento y se hagan cargo de los gastos de inhumación, recibirán hasta el importe de cuatro meses de las percepciones ordinarias que estuviere percibiendo en esa fecha.</w:t>
      </w:r>
    </w:p>
    <w:sectPr w:rsidR="00C16F50" w:rsidSect="0082209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4FB7"/>
    <w:rsid w:val="00324FB7"/>
    <w:rsid w:val="005527C8"/>
    <w:rsid w:val="0082209B"/>
    <w:rsid w:val="00CF43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FB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324FB7"/>
    <w:pPr>
      <w:spacing w:after="101" w:line="216" w:lineRule="exact"/>
      <w:ind w:firstLine="288"/>
      <w:jc w:val="both"/>
    </w:pPr>
    <w:rPr>
      <w:rFonts w:ascii="Arial" w:hAnsi="Arial"/>
      <w:sz w:val="18"/>
      <w:szCs w:val="18"/>
    </w:rPr>
  </w:style>
  <w:style w:type="paragraph" w:styleId="Textosinformato">
    <w:name w:val="Plain Text"/>
    <w:basedOn w:val="Normal"/>
    <w:link w:val="TextosinformatoCar"/>
    <w:rsid w:val="00324FB7"/>
    <w:rPr>
      <w:rFonts w:ascii="Courier New" w:hAnsi="Courier New" w:cs="Courier New"/>
      <w:sz w:val="20"/>
      <w:szCs w:val="20"/>
    </w:rPr>
  </w:style>
  <w:style w:type="character" w:customStyle="1" w:styleId="TextosinformatoCar">
    <w:name w:val="Texto sin formato Car"/>
    <w:basedOn w:val="Fuentedeprrafopredeter"/>
    <w:link w:val="Textosinformato"/>
    <w:rsid w:val="00324FB7"/>
    <w:rPr>
      <w:rFonts w:ascii="Courier New" w:eastAsia="Times New Roman" w:hAnsi="Courier New" w:cs="Courier New"/>
      <w:sz w:val="20"/>
      <w:szCs w:val="20"/>
      <w:lang w:eastAsia="es-ES"/>
    </w:rPr>
  </w:style>
  <w:style w:type="character" w:customStyle="1" w:styleId="TextoCar">
    <w:name w:val="Texto Car"/>
    <w:link w:val="Texto"/>
    <w:locked/>
    <w:rsid w:val="00324FB7"/>
    <w:rPr>
      <w:rFonts w:ascii="Arial" w:eastAsia="Times New Roman" w:hAnsi="Arial" w:cs="Times New Roman"/>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1769</Words>
  <Characters>9733</Characters>
  <Application>Microsoft Office Word</Application>
  <DocSecurity>0</DocSecurity>
  <Lines>81</Lines>
  <Paragraphs>22</Paragraphs>
  <ScaleCrop>false</ScaleCrop>
  <Company/>
  <LinksUpToDate>false</LinksUpToDate>
  <CharactersWithSpaces>11480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dserrano</dc:creator>
  <cp:keywords/>
  <dc:description/>
  <cp:lastModifiedBy>dserrano</cp:lastModifiedBy>
  <cp:revision>1</cp:revision>
  <dcterms:created xsi:type="dcterms:W3CDTF">2012-12-17T23:52:00Z</dcterms:created>
  <dcterms:modified xsi:type="dcterms:W3CDTF">2012-12-17T23:53:00Z</dcterms:modified>
</cp:coreProperties>
</file>