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30" w:rsidRDefault="00CC4B30" w:rsidP="00CC4B30">
      <w:pPr>
        <w:pStyle w:val="Texto"/>
        <w:spacing w:after="0" w:line="240" w:lineRule="auto"/>
        <w:ind w:firstLine="0"/>
        <w:jc w:val="center"/>
        <w:rPr>
          <w:b/>
          <w:bCs/>
          <w:color w:val="000000"/>
          <w:sz w:val="22"/>
          <w:lang w:val="es-MX"/>
        </w:rPr>
      </w:pPr>
      <w:r>
        <w:rPr>
          <w:b/>
          <w:bCs/>
          <w:color w:val="000000"/>
          <w:sz w:val="22"/>
          <w:lang w:val="es-MX"/>
        </w:rPr>
        <w:t>CAPÍTULO II</w:t>
      </w:r>
    </w:p>
    <w:p w:rsidR="00CC4B30" w:rsidRDefault="00CC4B30" w:rsidP="00CC4B30">
      <w:pPr>
        <w:pStyle w:val="Texto"/>
        <w:spacing w:after="0" w:line="240" w:lineRule="auto"/>
        <w:ind w:firstLine="0"/>
        <w:jc w:val="center"/>
        <w:rPr>
          <w:b/>
          <w:bCs/>
          <w:color w:val="000000"/>
          <w:sz w:val="22"/>
          <w:lang w:val="es-MX"/>
        </w:rPr>
      </w:pPr>
      <w:r>
        <w:rPr>
          <w:b/>
          <w:bCs/>
          <w:color w:val="000000"/>
          <w:sz w:val="22"/>
          <w:lang w:val="es-MX"/>
        </w:rPr>
        <w:t xml:space="preserve">De la </w:t>
      </w:r>
      <w:proofErr w:type="spellStart"/>
      <w:r>
        <w:rPr>
          <w:b/>
          <w:bCs/>
          <w:color w:val="000000"/>
          <w:sz w:val="22"/>
          <w:lang w:val="es-MX"/>
        </w:rPr>
        <w:t>Ministración</w:t>
      </w:r>
      <w:proofErr w:type="spellEnd"/>
      <w:r>
        <w:rPr>
          <w:b/>
          <w:bCs/>
          <w:color w:val="000000"/>
          <w:sz w:val="22"/>
          <w:lang w:val="es-MX"/>
        </w:rPr>
        <w:t>, el Pago y la Concentración de Recursos</w:t>
      </w:r>
    </w:p>
    <w:p w:rsidR="00CC4B30" w:rsidRDefault="00CC4B30" w:rsidP="00CC4B30">
      <w:pPr>
        <w:pStyle w:val="Texto"/>
        <w:spacing w:after="0" w:line="240" w:lineRule="auto"/>
        <w:ind w:firstLine="0"/>
        <w:jc w:val="center"/>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Artículo 51.- </w:t>
      </w:r>
      <w:r>
        <w:rPr>
          <w:color w:val="000000"/>
          <w:sz w:val="20"/>
          <w:lang w:val="es-MX"/>
        </w:rPr>
        <w:t>La Tesorería de la Federación, por sí y a través de sus diversas oficinas, efectuará los cobros y los pagos correspondientes a las dependencias.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 xml:space="preserve">La </w:t>
      </w:r>
      <w:proofErr w:type="spellStart"/>
      <w:r>
        <w:rPr>
          <w:color w:val="000000"/>
          <w:sz w:val="20"/>
          <w:lang w:val="es-MX"/>
        </w:rPr>
        <w:t>ministración</w:t>
      </w:r>
      <w:proofErr w:type="spellEnd"/>
      <w:r>
        <w:rPr>
          <w:color w:val="000000"/>
          <w:sz w:val="20"/>
          <w:lang w:val="es-MX"/>
        </w:rPr>
        <w:t xml:space="preserve"> de los fondos correspondientes será autorizada en todos los casos por la Secretaría, de conformidad con el Presupuesto de Egresos.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Los Poderes Legislativo y Judicial, los entes autónomos y las entidades, recibirán y manejarán sus recursos así como harán sus pagos a través de sus propias tesorerías o sus equivalentes.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 xml:space="preserve">El Ejecutivo Federal, por conducto de la Secretaría, podrá disponer que los fondos y pagos correspondientes a las entidades, se manejen, temporal o permanentemente de manera centralizada en la Tesorería de la Federación. Asimismo, podrá suspender, diferir o determinar reducciones en la </w:t>
      </w:r>
      <w:proofErr w:type="spellStart"/>
      <w:r>
        <w:rPr>
          <w:color w:val="000000"/>
          <w:sz w:val="20"/>
          <w:lang w:val="es-MX"/>
        </w:rPr>
        <w:t>ministración</w:t>
      </w:r>
      <w:proofErr w:type="spellEnd"/>
      <w:r>
        <w:rPr>
          <w:color w:val="000000"/>
          <w:sz w:val="20"/>
          <w:lang w:val="es-MX"/>
        </w:rPr>
        <w:t xml:space="preserve"> de los recursos, cuando las dependencias y entidades no cumplan con las disposiciones de esta Ley y el Reglamento o se presenten situaciones supervenientes que puedan afectar negativamente la estabilidad financiera, reportando al respecto en los informes trimestrales.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 xml:space="preserve">La </w:t>
      </w:r>
      <w:proofErr w:type="spellStart"/>
      <w:r>
        <w:rPr>
          <w:color w:val="000000"/>
          <w:sz w:val="20"/>
          <w:lang w:val="es-MX"/>
        </w:rPr>
        <w:t>ministración</w:t>
      </w:r>
      <w:proofErr w:type="spellEnd"/>
      <w:r>
        <w:rPr>
          <w:color w:val="000000"/>
          <w:sz w:val="20"/>
          <w:lang w:val="es-MX"/>
        </w:rPr>
        <w:t xml:space="preserve"> de los recursos atenderá primordialmente el principio de oportunidad y respeto a los calendarios de gasto que se elaborarán con base en las prioridades y requerimientos de las dependencias y entidades, con el objeto de lograr una mayor eficacia en el uso de los recursos públicos.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sz w:val="20"/>
        </w:rPr>
      </w:pPr>
      <w:r>
        <w:rPr>
          <w:sz w:val="20"/>
        </w:rPr>
        <w:t>Para efectos de lo anterior, la Tesorería de la Federación operará y administrará el sistema de la cuenta única de tesorería que será obligatorio para las dependencias y entidades. La Secretaría podrá emitir las normas y lineamientos para la implantación y funcionamiento de la cuenta única, así como también, tomando en cuenta las necesidades específicas de cada caso, establecer las excepciones procedentes. Lo anterior, sin perjuicio de las obligaciones que correspondan a los ejecutores de gasto o a sus unidades responsables y de administración.</w:t>
      </w:r>
    </w:p>
    <w:p w:rsidR="00CC4B30" w:rsidRDefault="00CC4B30" w:rsidP="00CC4B30">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Párrafo adicionado DOF 01-10-2007</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Artículo 52.- </w:t>
      </w:r>
      <w:r>
        <w:rPr>
          <w:color w:val="000000"/>
          <w:sz w:val="20"/>
          <w:lang w:val="es-MX"/>
        </w:rPr>
        <w:t>Los ejecutores de gasto realizarán los cargos al Presupuesto de Egresos, a través de cuentas por liquidar certificadas.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 xml:space="preserve">La Secretaría podrá realizar cargos a los presupuestos de las dependencias y, en su caso, a las transferencias o subsidios </w:t>
      </w:r>
      <w:proofErr w:type="gramStart"/>
      <w:r>
        <w:rPr>
          <w:color w:val="000000"/>
          <w:sz w:val="20"/>
          <w:lang w:val="es-MX"/>
        </w:rPr>
        <w:t>destinadas</w:t>
      </w:r>
      <w:proofErr w:type="gramEnd"/>
      <w:r>
        <w:rPr>
          <w:color w:val="000000"/>
          <w:sz w:val="20"/>
          <w:lang w:val="es-MX"/>
        </w:rPr>
        <w:t xml:space="preserve"> a las entidades en el presupuesto de las dependencias coordinadoras de sector, en caso de desastres naturales o incumplimiento de normas o pagos, conforme a lo siguiente:</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I. </w:t>
      </w:r>
      <w:r>
        <w:rPr>
          <w:color w:val="000000"/>
          <w:sz w:val="20"/>
          <w:lang w:val="es-MX"/>
        </w:rPr>
        <w:t>La Secretaría solicitará a la dependencia que efectúe el cargo a su presupuesto. Si en un plazo de 5 días hábiles la dependencia no realizara el cargo, la Secretaría elaborará una cuenta por liquidar certificada especial para efectuarlo;</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II. </w:t>
      </w:r>
      <w:r>
        <w:rPr>
          <w:color w:val="000000"/>
          <w:sz w:val="20"/>
          <w:lang w:val="es-MX"/>
        </w:rPr>
        <w:t xml:space="preserve">La dependencia cuyo presupuesto se haya afectado por la expedición de cuentas por </w:t>
      </w:r>
      <w:proofErr w:type="gramStart"/>
      <w:r>
        <w:rPr>
          <w:color w:val="000000"/>
          <w:sz w:val="20"/>
          <w:lang w:val="es-MX"/>
        </w:rPr>
        <w:t>liquidar</w:t>
      </w:r>
      <w:proofErr w:type="gramEnd"/>
      <w:r>
        <w:rPr>
          <w:color w:val="000000"/>
          <w:sz w:val="20"/>
          <w:lang w:val="es-MX"/>
        </w:rPr>
        <w:t xml:space="preserve"> certificadas especiales deberá efectuar el registro contable y presupuestario correspondiente, y</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III. </w:t>
      </w:r>
      <w:r>
        <w:rPr>
          <w:color w:val="000000"/>
          <w:sz w:val="20"/>
          <w:lang w:val="es-MX"/>
        </w:rPr>
        <w:t xml:space="preserve">En caso de presentarse incumplimiento a lo dispuesto en este artículo, la Secretaría podrá suspender las </w:t>
      </w:r>
      <w:proofErr w:type="spellStart"/>
      <w:r>
        <w:rPr>
          <w:color w:val="000000"/>
          <w:sz w:val="20"/>
          <w:lang w:val="es-MX"/>
        </w:rPr>
        <w:t>ministraciones</w:t>
      </w:r>
      <w:proofErr w:type="spellEnd"/>
      <w:r>
        <w:rPr>
          <w:color w:val="000000"/>
          <w:sz w:val="20"/>
          <w:lang w:val="es-MX"/>
        </w:rPr>
        <w:t xml:space="preserve"> de fondos a la dependencia correspondiente.</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Artículo 53.- </w:t>
      </w:r>
      <w:r>
        <w:rPr>
          <w:color w:val="000000"/>
          <w:sz w:val="20"/>
          <w:lang w:val="es-MX"/>
        </w:rPr>
        <w:t>Los ejecutores de gasto informarán a la Secretaría antes del último día de febrero de cada año el monto y características de su deuda pública flotante o pasivo circulante al cierre del ejercicio fiscal anterior.</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Artículo 54.- </w:t>
      </w:r>
      <w:r>
        <w:rPr>
          <w:color w:val="000000"/>
          <w:sz w:val="20"/>
          <w:lang w:val="es-MX"/>
        </w:rPr>
        <w:t xml:space="preserve">Una vez concluida la vigencia de un Presupuesto de Egresos sólo procederá hacer pagos, con base en él por los conceptos efectivamente devengados en el año que corresponda, siempre que se hubieren contabilizado debida y oportunamente las operaciones </w:t>
      </w:r>
      <w:r>
        <w:rPr>
          <w:color w:val="000000"/>
          <w:sz w:val="20"/>
          <w:lang w:val="es-MX"/>
        </w:rPr>
        <w:lastRenderedPageBreak/>
        <w:t>correspondientes, hayan estado contempladas en el Presupuesto de Egresos, y se hubiere presentado el informe a que se refiere el artículo anterior, así como los correspondientes al costo financiero de la deuda pública.</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Las erogaciones previstas en el Presupuesto de Egresos que no se encuentren devengadas al 31 de diciembre, no podrán ejercerse.</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Los Poderes Legislativo y Judicial, los entes autónomos, las dependencias, así como las entidades respecto de los subsidios o transferencias que reciban, que por cualquier motivo al 31 de diciembre conserven recursos, incluyendo los rendimientos obtenidos, deberán reintegrar el importe disponible a la Tesorería de la Federación dentro de los 15 días naturales siguientes al cierre del ejercicio.</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Los adeudos de ejercicios fiscales anteriores, previstos en el proyecto de Presupuesto de Egresos podrán ser hasta por el 80% del monto de endeudamiento autorizado como diferimiento de pago en la Ley de Ingresos del ejercicio fiscal inmediato anterior a aquél en que deba efectuarse su pago.</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Queda prohibido realizar erogaciones al final del ejercicio con cargo a ahorros y economías del Presupuesto de Egresos que tengan por objeto evitar el reintegro de recursos a que se refiere este artículo.</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Artículo 55.- </w:t>
      </w:r>
      <w:r>
        <w:rPr>
          <w:color w:val="000000"/>
          <w:sz w:val="20"/>
          <w:lang w:val="es-MX"/>
        </w:rPr>
        <w:t>La Tesorería de la Federación expedirá las disposiciones generales a que se sujetarán las garantías que deban constituirse a favor de las dependencias y entidades en los actos y contratos que celebren.</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La Tesorería de la Federación será la beneficiaria de todas las garantías que se otorguen a favor de las dependencias. Dicha Tesorería conservará la documentación respectiva y, en su caso, ejercitará los derechos que correspondan, a cuyo efecto y con la debida oportunidad se le habrán de remitir las informaciones y documentos necesarios. En el caso de las entidades, sus propias tesorerías serán las beneficiarias.</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color w:val="000000"/>
          <w:sz w:val="20"/>
          <w:lang w:val="es-MX"/>
        </w:rPr>
        <w:t>Los Poderes Legislativo y Judicial y los entes autónomos, por conducto de sus respectivas unidades de administración, establecerán en el ámbito de su competencia los requisitos aplicables a las garantías que se constituyan a su favor.</w:t>
      </w:r>
    </w:p>
    <w:p w:rsidR="00CC4B30" w:rsidRDefault="00CC4B30" w:rsidP="00CC4B30">
      <w:pPr>
        <w:pStyle w:val="Texto"/>
        <w:spacing w:after="0" w:line="240" w:lineRule="auto"/>
        <w:rPr>
          <w:color w:val="000000"/>
          <w:sz w:val="20"/>
          <w:lang w:val="es-MX"/>
        </w:rPr>
      </w:pPr>
    </w:p>
    <w:p w:rsidR="00CC4B30" w:rsidRDefault="00CC4B30" w:rsidP="00CC4B30">
      <w:pPr>
        <w:pStyle w:val="Texto"/>
        <w:spacing w:after="0" w:line="240" w:lineRule="auto"/>
        <w:rPr>
          <w:color w:val="000000"/>
          <w:sz w:val="20"/>
          <w:lang w:val="es-MX"/>
        </w:rPr>
      </w:pPr>
      <w:r>
        <w:rPr>
          <w:b/>
          <w:bCs/>
          <w:color w:val="000000"/>
          <w:sz w:val="20"/>
          <w:lang w:val="es-MX"/>
        </w:rPr>
        <w:t xml:space="preserve">Artículo 56.- </w:t>
      </w:r>
      <w:r>
        <w:rPr>
          <w:color w:val="000000"/>
          <w:sz w:val="20"/>
          <w:lang w:val="es-MX"/>
        </w:rPr>
        <w:t>Los ejecutores de gasto no otorgarán garantías ni efectuarán depósitos para el cumplimiento de sus obligaciones de pago con cargo al Presupuesto de Egresos.</w:t>
      </w:r>
    </w:p>
    <w:p w:rsidR="00C16F50" w:rsidRPr="00CC4B30" w:rsidRDefault="00CC4B30">
      <w:pPr>
        <w:rPr>
          <w:lang w:val="es-MX"/>
        </w:rPr>
      </w:pPr>
    </w:p>
    <w:sectPr w:rsidR="00C16F50" w:rsidRPr="00CC4B3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4B30"/>
    <w:rsid w:val="005527C8"/>
    <w:rsid w:val="0082209B"/>
    <w:rsid w:val="00CC4B30"/>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CC4B30"/>
    <w:pPr>
      <w:spacing w:after="101" w:line="216" w:lineRule="exact"/>
      <w:ind w:firstLine="288"/>
      <w:jc w:val="both"/>
    </w:pPr>
    <w:rPr>
      <w:rFonts w:ascii="Arial" w:eastAsia="Times New Roman" w:hAnsi="Arial" w:cs="Times New Roman"/>
      <w:sz w:val="18"/>
      <w:szCs w:val="18"/>
      <w:lang w:eastAsia="es-ES"/>
    </w:rPr>
  </w:style>
  <w:style w:type="paragraph" w:styleId="Textosinformato">
    <w:name w:val="Plain Text"/>
    <w:basedOn w:val="Normal"/>
    <w:link w:val="TextosinformatoCar"/>
    <w:rsid w:val="00CC4B3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CC4B30"/>
    <w:rPr>
      <w:rFonts w:ascii="Courier New" w:eastAsia="Times New Roman" w:hAnsi="Courier New" w:cs="Courier New"/>
      <w:sz w:val="20"/>
      <w:szCs w:val="20"/>
      <w:lang w:eastAsia="es-ES"/>
    </w:rPr>
  </w:style>
  <w:style w:type="character" w:customStyle="1" w:styleId="TextoCar">
    <w:name w:val="Texto Car"/>
    <w:link w:val="Texto"/>
    <w:locked/>
    <w:rsid w:val="00CC4B30"/>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4950</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2012-12-17T23:48:00Z</dcterms:created>
  <dcterms:modified xsi:type="dcterms:W3CDTF">2012-12-17T23:49:00Z</dcterms:modified>
</cp:coreProperties>
</file>