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38E" w:rsidRDefault="0005338E" w:rsidP="0005338E">
      <w:pPr>
        <w:pStyle w:val="TextoCar"/>
        <w:spacing w:after="0" w:line="240" w:lineRule="auto"/>
        <w:ind w:firstLine="0"/>
        <w:jc w:val="center"/>
        <w:rPr>
          <w:b/>
          <w:bCs/>
          <w:sz w:val="22"/>
        </w:rPr>
      </w:pPr>
      <w:bookmarkStart w:id="0" w:name="_GoBack"/>
      <w:r>
        <w:rPr>
          <w:b/>
          <w:bCs/>
          <w:sz w:val="22"/>
        </w:rPr>
        <w:t>Capítulo III</w:t>
      </w:r>
    </w:p>
    <w:p w:rsidR="0005338E" w:rsidRDefault="0005338E" w:rsidP="0005338E">
      <w:pPr>
        <w:pStyle w:val="TextoCar"/>
        <w:spacing w:after="0" w:line="240" w:lineRule="auto"/>
        <w:ind w:firstLine="0"/>
        <w:jc w:val="center"/>
        <w:rPr>
          <w:b/>
          <w:bCs/>
          <w:sz w:val="22"/>
        </w:rPr>
      </w:pPr>
      <w:r>
        <w:rPr>
          <w:b/>
          <w:bCs/>
          <w:sz w:val="22"/>
        </w:rPr>
        <w:t>Del Financiamiento y el Gasto</w:t>
      </w:r>
      <w:bookmarkEnd w:id="0"/>
    </w:p>
    <w:p w:rsidR="0005338E" w:rsidRDefault="0005338E" w:rsidP="0005338E">
      <w:pPr>
        <w:pStyle w:val="TextoCar"/>
        <w:spacing w:after="0" w:line="240" w:lineRule="auto"/>
        <w:ind w:firstLine="0"/>
        <w:jc w:val="center"/>
        <w:rPr>
          <w:sz w:val="20"/>
        </w:rPr>
      </w:pPr>
    </w:p>
    <w:p w:rsidR="0005338E" w:rsidRDefault="0005338E" w:rsidP="0005338E">
      <w:pPr>
        <w:pStyle w:val="TextoCar"/>
        <w:spacing w:after="0" w:line="240" w:lineRule="auto"/>
        <w:rPr>
          <w:sz w:val="20"/>
        </w:rPr>
      </w:pPr>
      <w:r>
        <w:rPr>
          <w:b/>
          <w:bCs/>
          <w:sz w:val="20"/>
        </w:rPr>
        <w:t>Artículo 18.</w:t>
      </w:r>
      <w:r>
        <w:rPr>
          <w:sz w:val="20"/>
        </w:rPr>
        <w:t xml:space="preserve"> Los programas, fondos y recursos destinados al desarrollo social son prioritarios y de interés público, por lo cual serán objeto de seguimiento y evaluación de acuerdo con esta Ley; y no podrán sufrir disminuciones en sus montos presupuestales, excepto en los casos y términos que establezca la Cámara de Diputados al aprobar el Presupuesto de Egresos de la Federación.</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bCs/>
          <w:sz w:val="20"/>
        </w:rPr>
        <w:t>Artículo 19.</w:t>
      </w:r>
      <w:r>
        <w:rPr>
          <w:sz w:val="20"/>
        </w:rPr>
        <w:t xml:space="preserve"> Son prioritarios y de interés público:</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sz w:val="20"/>
        </w:rPr>
        <w:t xml:space="preserve">I. </w:t>
      </w:r>
      <w:r>
        <w:rPr>
          <w:sz w:val="20"/>
        </w:rPr>
        <w:t>Los programas de educación obligatoria;</w:t>
      </w:r>
    </w:p>
    <w:p w:rsidR="0005338E" w:rsidRDefault="0005338E" w:rsidP="0005338E">
      <w:pPr>
        <w:pStyle w:val="TextoCar"/>
        <w:spacing w:after="0" w:line="240" w:lineRule="auto"/>
        <w:rPr>
          <w:b/>
          <w:sz w:val="20"/>
        </w:rPr>
      </w:pPr>
    </w:p>
    <w:p w:rsidR="0005338E" w:rsidRDefault="0005338E" w:rsidP="0005338E">
      <w:pPr>
        <w:pStyle w:val="TextoCar"/>
        <w:spacing w:after="0" w:line="240" w:lineRule="auto"/>
        <w:rPr>
          <w:sz w:val="20"/>
        </w:rPr>
      </w:pPr>
      <w:r>
        <w:rPr>
          <w:b/>
          <w:sz w:val="20"/>
        </w:rPr>
        <w:t xml:space="preserve">II. </w:t>
      </w:r>
      <w:r>
        <w:rPr>
          <w:sz w:val="20"/>
        </w:rPr>
        <w:t>Las campañas de prevención y control de enfermedades transmisibles y los programas de atención médica;</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sz w:val="20"/>
        </w:rPr>
        <w:t xml:space="preserve">III. </w:t>
      </w:r>
      <w:r>
        <w:rPr>
          <w:sz w:val="20"/>
        </w:rPr>
        <w:t>Los programas dirigidos a las personas en condiciones de pobreza, marginación o en situación de vulnerabilidad;</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sz w:val="20"/>
        </w:rPr>
        <w:t xml:space="preserve">IV. </w:t>
      </w:r>
      <w:r>
        <w:rPr>
          <w:sz w:val="20"/>
        </w:rPr>
        <w:t>Los programas dirigidos a zonas de atención prioritaria;</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sz w:val="20"/>
        </w:rPr>
        <w:t xml:space="preserve">V. </w:t>
      </w:r>
      <w:r>
        <w:rPr>
          <w:sz w:val="20"/>
        </w:rPr>
        <w:t>Los programas y acciones públicas para asegurar la alimentación y nutrición materno-infantil;</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sz w:val="20"/>
        </w:rPr>
        <w:t xml:space="preserve">VI. </w:t>
      </w:r>
      <w:r>
        <w:rPr>
          <w:sz w:val="20"/>
        </w:rPr>
        <w:t>Los programas de abasto social de productos básicos;</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sz w:val="20"/>
        </w:rPr>
        <w:t xml:space="preserve">VII. </w:t>
      </w:r>
      <w:r>
        <w:rPr>
          <w:sz w:val="20"/>
        </w:rPr>
        <w:t>Los programas de vivienda;</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sz w:val="20"/>
        </w:rPr>
        <w:t xml:space="preserve">VIII. </w:t>
      </w:r>
      <w:r>
        <w:rPr>
          <w:sz w:val="20"/>
        </w:rPr>
        <w:t>Los programas y fondos públicos destinados a la generación y conservación del empleo, a las actividades productivas sociales y a las empresas del sector social de la economía, y</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sz w:val="20"/>
        </w:rPr>
        <w:t xml:space="preserve">IX. </w:t>
      </w:r>
      <w:r>
        <w:rPr>
          <w:sz w:val="20"/>
        </w:rPr>
        <w:t>Los programas y obras de infraestructura para agua potable, drenaje, electrificación, caminos y otras vías de comunicación, saneamiento ambiental y equipamiento urbano.</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bCs/>
          <w:sz w:val="20"/>
        </w:rPr>
        <w:t>Artículo 20.</w:t>
      </w:r>
      <w:r>
        <w:rPr>
          <w:sz w:val="20"/>
        </w:rPr>
        <w:t xml:space="preserve"> El presupuesto federal destinado al gasto social no podrá ser inferior, en términos reales, al del año fiscal anterior. Este gasto se deberá incrementar cuando menos en la misma proporción en que se prevea el crecimiento del producto interno bruto en los Criterios Generales de Política Económica y en congruencia con la disponibilidad de recursos a partir de los ingresos que autorice el Congreso al Gobierno Federal.</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bCs/>
          <w:sz w:val="20"/>
        </w:rPr>
        <w:t>Artículo 21</w:t>
      </w:r>
      <w:r>
        <w:rPr>
          <w:b/>
          <w:sz w:val="20"/>
        </w:rPr>
        <w:t>.</w:t>
      </w:r>
      <w:r>
        <w:rPr>
          <w:sz w:val="20"/>
        </w:rPr>
        <w:t xml:space="preserve"> La distribución de los fondos de aportaciones federales y de los ramos generales relativos a los programas sociales de educación, salud, alimentación, infraestructura social y generación de empleos productivos y mejoramiento del ingreso se hará con criterios de equidad y transparencia, conforme a la normatividad aplicable.</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bCs/>
          <w:sz w:val="20"/>
        </w:rPr>
        <w:t>Artículo 22.</w:t>
      </w:r>
      <w:r>
        <w:rPr>
          <w:sz w:val="20"/>
        </w:rPr>
        <w:t xml:space="preserve"> En el Presupuesto Anual de Egresos de la Federación, se establecerán las partidas presupuestales específicas para los programas de desarrollo social y no podrán destinarse a fines distintos.</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bCs/>
          <w:sz w:val="20"/>
        </w:rPr>
        <w:t xml:space="preserve">Artículo 23. </w:t>
      </w:r>
      <w:r>
        <w:rPr>
          <w:sz w:val="20"/>
        </w:rPr>
        <w:t>La distribución del gasto social con el que se financiará el desarrollo social, se sujetará a los siguientes criterios:</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sz w:val="20"/>
        </w:rPr>
        <w:t xml:space="preserve">I. </w:t>
      </w:r>
      <w:r>
        <w:rPr>
          <w:sz w:val="20"/>
        </w:rPr>
        <w:t>El gasto social per cápita no será menor en términos reales al asignado el año inmediato anterior;</w:t>
      </w:r>
    </w:p>
    <w:p w:rsidR="0005338E" w:rsidRDefault="0005338E" w:rsidP="0005338E">
      <w:pPr>
        <w:pStyle w:val="TextoCar"/>
        <w:spacing w:after="0" w:line="240" w:lineRule="auto"/>
        <w:rPr>
          <w:b/>
          <w:sz w:val="20"/>
        </w:rPr>
      </w:pPr>
    </w:p>
    <w:p w:rsidR="0005338E" w:rsidRDefault="0005338E" w:rsidP="0005338E">
      <w:pPr>
        <w:pStyle w:val="TextoCar"/>
        <w:spacing w:after="0" w:line="240" w:lineRule="auto"/>
        <w:rPr>
          <w:sz w:val="20"/>
        </w:rPr>
      </w:pPr>
      <w:r>
        <w:rPr>
          <w:b/>
          <w:sz w:val="20"/>
        </w:rPr>
        <w:t xml:space="preserve">II. </w:t>
      </w:r>
      <w:r>
        <w:rPr>
          <w:sz w:val="20"/>
        </w:rPr>
        <w:t>Estará orientado a la promoción de un desarrollo regional equilibrado;</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sz w:val="20"/>
        </w:rPr>
        <w:lastRenderedPageBreak/>
        <w:t xml:space="preserve">III. </w:t>
      </w:r>
      <w:r>
        <w:rPr>
          <w:sz w:val="20"/>
        </w:rPr>
        <w:t>Se basará en indicadores y lineamientos generales de eficacia y de cantidad y calidad en la prestación de los servicios sociales, y</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sz w:val="20"/>
        </w:rPr>
        <w:t xml:space="preserve">IV. </w:t>
      </w:r>
      <w:r>
        <w:rPr>
          <w:sz w:val="20"/>
        </w:rPr>
        <w:t>En el caso de los presupuestos federales descentralizados, las entidades federativas y municipios acordarán con la Administración Pública Federal el destino y los criterios del gasto, a través de los convenios de coordinación.</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bCs/>
          <w:sz w:val="20"/>
        </w:rPr>
        <w:t>Artículo 24.</w:t>
      </w:r>
      <w:r>
        <w:rPr>
          <w:sz w:val="20"/>
        </w:rPr>
        <w:t xml:space="preserve"> Los recursos presupuestales federales asignados a los programas de desarrollo social podrán ser complementados con recursos provenientes de los gobiernos estatales y municipales, así como con aportaciones de organismos internacionales y de los sectores social y privado.</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bCs/>
          <w:sz w:val="20"/>
        </w:rPr>
        <w:t>Artículo 25.</w:t>
      </w:r>
      <w:r>
        <w:rPr>
          <w:sz w:val="20"/>
        </w:rPr>
        <w:t xml:space="preserve"> El Ejecutivo Federal podrá establecer y administrar un Fondo de Contingencia Social como respuesta a fenómenos económicos y presupuestales imprevistos. En el Presupuesto de Egresos de la Federación se determinará el monto y las reglas mínimas a las que quedará sujeta su distribución y aplicación, incluyendo las previsiones correspondientes para garantizar que los recursos del fondo sean utilizados en el ejercicio fiscal.</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bCs/>
          <w:sz w:val="20"/>
        </w:rPr>
        <w:t xml:space="preserve">Artículo 26. </w:t>
      </w:r>
      <w:r>
        <w:rPr>
          <w:sz w:val="20"/>
        </w:rPr>
        <w:t xml:space="preserve">El Gobierno Federal deberá elaborar y publicar en el </w:t>
      </w:r>
      <w:r>
        <w:rPr>
          <w:b/>
          <w:sz w:val="20"/>
        </w:rPr>
        <w:t>Diario Oficial de la Federación</w:t>
      </w:r>
      <w:r>
        <w:rPr>
          <w:sz w:val="20"/>
        </w:rPr>
        <w:t xml:space="preserve"> las reglas de operación de los programas de desarrollo social incluidos en el Presupuesto de Egresos de la Federación, así como la metodología, normatividad, calendarización y las asignaciones correspondientes a las entidades federativas. Por su parte, los gobiernos de las entidades federativas publicarán en sus respectivos periódicos oficiales, la distribución a los municipios de los recursos federales.</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bCs/>
          <w:sz w:val="20"/>
        </w:rPr>
        <w:t xml:space="preserve">Artículo 27. </w:t>
      </w:r>
      <w:r>
        <w:rPr>
          <w:sz w:val="20"/>
        </w:rPr>
        <w:t>Con el propósito de asegurar la equidad y eficacia de los programas de desarrollo social, el Gobierno Federal, por conducto de la Secretaría y los gobiernos de las entidades federativas y de los municipios, en el ámbito de sus respectivas competencias, integrarán el Padrón.</w:t>
      </w:r>
    </w:p>
    <w:p w:rsidR="0005338E" w:rsidRDefault="0005338E" w:rsidP="0005338E">
      <w:pPr>
        <w:pStyle w:val="TextoCar"/>
        <w:spacing w:after="0" w:line="240" w:lineRule="auto"/>
        <w:rPr>
          <w:sz w:val="20"/>
        </w:rPr>
      </w:pPr>
    </w:p>
    <w:p w:rsidR="0005338E" w:rsidRDefault="0005338E" w:rsidP="0005338E">
      <w:pPr>
        <w:pStyle w:val="TextoCar"/>
        <w:spacing w:after="0" w:line="240" w:lineRule="auto"/>
        <w:rPr>
          <w:sz w:val="20"/>
        </w:rPr>
      </w:pPr>
      <w:r>
        <w:rPr>
          <w:b/>
          <w:bCs/>
          <w:sz w:val="20"/>
        </w:rPr>
        <w:t xml:space="preserve">Artículo 28. </w:t>
      </w:r>
      <w:r>
        <w:rPr>
          <w:sz w:val="20"/>
        </w:rPr>
        <w:t>La publicidad y la información relativa a los programas de desarrollo social deberán identificarse con el Escudo Nacional en los términos que establece la ley correspondiente e incluir la siguiente leyenda: "Este programa es público, ajeno a cualquier partido político. Queda prohibido el uso para fines distintos al desarrollo social".</w:t>
      </w:r>
    </w:p>
    <w:p w:rsidR="00ED22CB" w:rsidRDefault="00ED22CB"/>
    <w:sectPr w:rsidR="00ED22C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38E"/>
    <w:rsid w:val="0005338E"/>
    <w:rsid w:val="00ED22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Car">
    <w:name w:val="Texto Car"/>
    <w:basedOn w:val="Normal"/>
    <w:rsid w:val="0005338E"/>
    <w:pPr>
      <w:spacing w:after="101" w:line="216" w:lineRule="exact"/>
      <w:ind w:firstLine="288"/>
      <w:jc w:val="both"/>
    </w:pPr>
    <w:rPr>
      <w:rFonts w:ascii="Arial" w:eastAsia="Times New Roman" w:hAnsi="Arial" w:cs="Arial"/>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Car">
    <w:name w:val="Texto Car"/>
    <w:basedOn w:val="Normal"/>
    <w:rsid w:val="0005338E"/>
    <w:pPr>
      <w:spacing w:after="101" w:line="216" w:lineRule="exact"/>
      <w:ind w:firstLine="288"/>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4140</Characters>
  <Application>Microsoft Office Word</Application>
  <DocSecurity>0</DocSecurity>
  <Lines>34</Lines>
  <Paragraphs>9</Paragraphs>
  <ScaleCrop>false</ScaleCrop>
  <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Dalai SerA</dc:creator>
  <cp:lastModifiedBy>Dalai SerA</cp:lastModifiedBy>
  <cp:revision>1</cp:revision>
  <dcterms:created xsi:type="dcterms:W3CDTF">2012-12-17T00:43:00Z</dcterms:created>
  <dcterms:modified xsi:type="dcterms:W3CDTF">2012-12-17T00:44:00Z</dcterms:modified>
</cp:coreProperties>
</file>