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FE" w:rsidRDefault="00CE71FE" w:rsidP="00CE71FE">
      <w:pPr>
        <w:pStyle w:val="TextoCar"/>
        <w:spacing w:after="0" w:line="240" w:lineRule="auto"/>
        <w:ind w:firstLine="0"/>
        <w:jc w:val="center"/>
        <w:rPr>
          <w:b/>
          <w:bCs/>
          <w:sz w:val="22"/>
        </w:rPr>
      </w:pPr>
      <w:bookmarkStart w:id="0" w:name="_GoBack"/>
      <w:r>
        <w:rPr>
          <w:b/>
          <w:bCs/>
          <w:sz w:val="22"/>
        </w:rPr>
        <w:t>Capítulo IV</w:t>
      </w:r>
    </w:p>
    <w:p w:rsidR="00CE71FE" w:rsidRDefault="00CE71FE" w:rsidP="00CE71FE">
      <w:pPr>
        <w:pStyle w:val="TextoCar"/>
        <w:spacing w:after="0" w:line="240" w:lineRule="auto"/>
        <w:ind w:firstLine="0"/>
        <w:jc w:val="center"/>
        <w:rPr>
          <w:b/>
          <w:bCs/>
          <w:sz w:val="22"/>
        </w:rPr>
      </w:pPr>
      <w:r>
        <w:rPr>
          <w:b/>
          <w:bCs/>
          <w:sz w:val="22"/>
        </w:rPr>
        <w:t>De las Zonas de Atención Prioritaria</w:t>
      </w:r>
    </w:p>
    <w:bookmarkEnd w:id="0"/>
    <w:p w:rsidR="00CE71FE" w:rsidRDefault="00CE71FE" w:rsidP="00CE71FE">
      <w:pPr>
        <w:pStyle w:val="TextoCar"/>
        <w:spacing w:after="0" w:line="240" w:lineRule="auto"/>
        <w:ind w:firstLine="0"/>
        <w:jc w:val="center"/>
        <w:rPr>
          <w:sz w:val="20"/>
        </w:rPr>
      </w:pPr>
    </w:p>
    <w:p w:rsidR="00CE71FE" w:rsidRDefault="00CE71FE" w:rsidP="00CE71FE">
      <w:pPr>
        <w:pStyle w:val="TextoCar"/>
        <w:spacing w:after="0" w:line="240" w:lineRule="auto"/>
        <w:rPr>
          <w:sz w:val="20"/>
        </w:rPr>
      </w:pPr>
      <w:r>
        <w:rPr>
          <w:b/>
          <w:bCs/>
          <w:sz w:val="20"/>
        </w:rPr>
        <w:t xml:space="preserve">Artículo 29. </w:t>
      </w:r>
      <w:r>
        <w:rPr>
          <w:sz w:val="20"/>
        </w:rPr>
        <w:t>Se consideran zonas de atención prioritaria las áreas o regiones, sean de carácter predominantemente rural o urbano, cuya población registra índices de pobreza, marginación indicativos de la existencia de marcadas insuficiencias y rezagos en el ejercicio de los derechos para el desarrollo social establecidos en esta Ley. Su determinación se orientará por los criterios de resultados que para el efecto defina el Consejo Nacional de Evaluación de la Política de Desarrollo Social que esta Ley señala y deberá, en todo tiempo, promover la eficacia cuantitativa y cualitativa de los ejecutores de la Política Social.</w:t>
      </w:r>
    </w:p>
    <w:p w:rsidR="00CE71FE" w:rsidRDefault="00CE71FE" w:rsidP="00CE71FE">
      <w:pPr>
        <w:pStyle w:val="TextoCar"/>
        <w:spacing w:after="0" w:line="240" w:lineRule="auto"/>
        <w:rPr>
          <w:sz w:val="20"/>
        </w:rPr>
      </w:pPr>
    </w:p>
    <w:p w:rsidR="00CE71FE" w:rsidRDefault="00CE71FE" w:rsidP="00CE71FE">
      <w:pPr>
        <w:pStyle w:val="TextoCar"/>
        <w:spacing w:after="0" w:line="240" w:lineRule="auto"/>
        <w:rPr>
          <w:sz w:val="20"/>
        </w:rPr>
      </w:pPr>
      <w:r>
        <w:rPr>
          <w:b/>
          <w:bCs/>
          <w:sz w:val="20"/>
        </w:rPr>
        <w:t>Artículo 30.</w:t>
      </w:r>
      <w:r>
        <w:rPr>
          <w:sz w:val="20"/>
        </w:rPr>
        <w:t xml:space="preserve"> El Ejecutivo Federal revisará anualmente las zonas de atención prioritaria, teniendo como referente las evaluaciones de resultados de los estudios de medición de la pobreza, que emita el Consejo Nacional de Evaluación de la Política de Desarrollo Social e informará a la Cámara de Diputados sobre su modificación para los efectos de asignaciones del Presupuesto de Egresos de la Federación. La Cámara de Diputados, al aprobar el Presupuesto, hará la Declaratoria de Zonas de Atención Prioritaria, la cual deberá publicarse en el </w:t>
      </w:r>
      <w:r>
        <w:rPr>
          <w:b/>
          <w:sz w:val="20"/>
        </w:rPr>
        <w:t>Diario Oficial de la Federación</w:t>
      </w:r>
      <w:r>
        <w:rPr>
          <w:sz w:val="20"/>
        </w:rPr>
        <w:t>, junto con el Decreto del Presupuesto de Egresos de la Federación.</w:t>
      </w:r>
    </w:p>
    <w:p w:rsidR="00CE71FE" w:rsidRDefault="00CE71FE" w:rsidP="00CE71FE">
      <w:pPr>
        <w:pStyle w:val="TextoCar"/>
        <w:spacing w:after="0" w:line="240" w:lineRule="auto"/>
        <w:rPr>
          <w:sz w:val="20"/>
        </w:rPr>
      </w:pPr>
    </w:p>
    <w:p w:rsidR="00CE71FE" w:rsidRDefault="00CE71FE" w:rsidP="00CE71FE">
      <w:pPr>
        <w:pStyle w:val="TextoCar"/>
        <w:spacing w:after="0" w:line="240" w:lineRule="auto"/>
        <w:rPr>
          <w:sz w:val="20"/>
        </w:rPr>
      </w:pPr>
      <w:r>
        <w:rPr>
          <w:b/>
          <w:bCs/>
          <w:sz w:val="20"/>
        </w:rPr>
        <w:t>Artículo 31</w:t>
      </w:r>
      <w:r>
        <w:rPr>
          <w:b/>
          <w:sz w:val="20"/>
        </w:rPr>
        <w:t>.</w:t>
      </w:r>
      <w:r>
        <w:rPr>
          <w:sz w:val="20"/>
        </w:rPr>
        <w:t xml:space="preserve"> La Declaratoria tendrá los efectos siguientes:</w:t>
      </w:r>
    </w:p>
    <w:p w:rsidR="00CE71FE" w:rsidRDefault="00CE71FE" w:rsidP="00CE71FE">
      <w:pPr>
        <w:pStyle w:val="TextoCar"/>
        <w:spacing w:after="0" w:line="240" w:lineRule="auto"/>
        <w:rPr>
          <w:sz w:val="20"/>
        </w:rPr>
      </w:pPr>
    </w:p>
    <w:p w:rsidR="00CE71FE" w:rsidRDefault="00CE71FE" w:rsidP="00CE71FE">
      <w:pPr>
        <w:pStyle w:val="TextoCar"/>
        <w:spacing w:after="0" w:line="240" w:lineRule="auto"/>
        <w:rPr>
          <w:sz w:val="20"/>
        </w:rPr>
      </w:pPr>
      <w:r>
        <w:rPr>
          <w:b/>
          <w:sz w:val="20"/>
        </w:rPr>
        <w:t xml:space="preserve">1. </w:t>
      </w:r>
      <w:r>
        <w:rPr>
          <w:sz w:val="20"/>
        </w:rPr>
        <w:t>Asignar recursos para elevar los índices de bienestar de la población en los rubros deficitarios;</w:t>
      </w:r>
    </w:p>
    <w:p w:rsidR="00CE71FE" w:rsidRDefault="00CE71FE" w:rsidP="00CE71FE">
      <w:pPr>
        <w:pStyle w:val="TextoCar"/>
        <w:spacing w:after="0" w:line="240" w:lineRule="auto"/>
        <w:rPr>
          <w:b/>
          <w:sz w:val="20"/>
        </w:rPr>
      </w:pPr>
    </w:p>
    <w:p w:rsidR="00CE71FE" w:rsidRDefault="00CE71FE" w:rsidP="00CE71FE">
      <w:pPr>
        <w:pStyle w:val="TextoCar"/>
        <w:spacing w:after="0" w:line="240" w:lineRule="auto"/>
        <w:rPr>
          <w:sz w:val="20"/>
        </w:rPr>
      </w:pPr>
      <w:r>
        <w:rPr>
          <w:b/>
          <w:sz w:val="20"/>
        </w:rPr>
        <w:t xml:space="preserve">2. </w:t>
      </w:r>
      <w:r>
        <w:rPr>
          <w:sz w:val="20"/>
        </w:rPr>
        <w:t>Establecer estímulos fiscales para promover actividades productivas generadoras de empleo;</w:t>
      </w:r>
    </w:p>
    <w:p w:rsidR="00CE71FE" w:rsidRDefault="00CE71FE" w:rsidP="00CE71FE">
      <w:pPr>
        <w:pStyle w:val="TextoCar"/>
        <w:spacing w:after="0" w:line="240" w:lineRule="auto"/>
        <w:rPr>
          <w:sz w:val="20"/>
        </w:rPr>
      </w:pPr>
    </w:p>
    <w:p w:rsidR="00CE71FE" w:rsidRDefault="00CE71FE" w:rsidP="00CE71FE">
      <w:pPr>
        <w:pStyle w:val="TextoCar"/>
        <w:spacing w:after="0" w:line="240" w:lineRule="auto"/>
        <w:rPr>
          <w:sz w:val="20"/>
        </w:rPr>
      </w:pPr>
      <w:r>
        <w:rPr>
          <w:b/>
          <w:sz w:val="20"/>
        </w:rPr>
        <w:t xml:space="preserve">3. </w:t>
      </w:r>
      <w:r>
        <w:rPr>
          <w:sz w:val="20"/>
        </w:rPr>
        <w:t>Generar programas de apoyo, financiamiento y diversificación a las actividades productivas regionales, y</w:t>
      </w:r>
    </w:p>
    <w:p w:rsidR="00CE71FE" w:rsidRDefault="00CE71FE" w:rsidP="00CE71FE">
      <w:pPr>
        <w:pStyle w:val="TextoCar"/>
        <w:spacing w:after="0" w:line="240" w:lineRule="auto"/>
        <w:rPr>
          <w:sz w:val="20"/>
        </w:rPr>
      </w:pPr>
    </w:p>
    <w:p w:rsidR="00CE71FE" w:rsidRDefault="00CE71FE" w:rsidP="00CE71FE">
      <w:pPr>
        <w:pStyle w:val="TextoCar"/>
        <w:spacing w:after="0" w:line="240" w:lineRule="auto"/>
        <w:rPr>
          <w:sz w:val="20"/>
        </w:rPr>
      </w:pPr>
      <w:r>
        <w:rPr>
          <w:b/>
          <w:sz w:val="20"/>
        </w:rPr>
        <w:t xml:space="preserve">4. </w:t>
      </w:r>
      <w:r>
        <w:rPr>
          <w:sz w:val="20"/>
        </w:rPr>
        <w:t>Desarrollar obras de infraestructura social necesarias para asegurar el disfrute y ejercicio de los derechos para el desarrollo social.</w:t>
      </w:r>
    </w:p>
    <w:p w:rsidR="00CE71FE" w:rsidRDefault="00CE71FE" w:rsidP="00CE71FE">
      <w:pPr>
        <w:pStyle w:val="TextoCar"/>
        <w:spacing w:after="0" w:line="240" w:lineRule="auto"/>
        <w:rPr>
          <w:sz w:val="20"/>
        </w:rPr>
      </w:pPr>
    </w:p>
    <w:p w:rsidR="00CE71FE" w:rsidRDefault="00CE71FE" w:rsidP="00CE71FE">
      <w:pPr>
        <w:pStyle w:val="TextoCar"/>
        <w:spacing w:after="0" w:line="240" w:lineRule="auto"/>
        <w:rPr>
          <w:sz w:val="20"/>
        </w:rPr>
      </w:pPr>
      <w:r>
        <w:rPr>
          <w:b/>
          <w:bCs/>
          <w:sz w:val="20"/>
        </w:rPr>
        <w:t>Artículo 32.</w:t>
      </w:r>
      <w:r>
        <w:rPr>
          <w:sz w:val="20"/>
        </w:rPr>
        <w:t xml:space="preserve"> Los municipios, los gobiernos de las entidades federativas y el Gobierno Federal podrán convenir acciones y destinarán recursos para la ejecución de programas especiales en estas zonas.</w:t>
      </w:r>
    </w:p>
    <w:p w:rsidR="00CE71FE" w:rsidRDefault="00CE71FE" w:rsidP="00CE71FE">
      <w:pPr>
        <w:pStyle w:val="TextoCar"/>
        <w:spacing w:after="0" w:line="240" w:lineRule="auto"/>
        <w:rPr>
          <w:sz w:val="20"/>
        </w:rPr>
      </w:pPr>
    </w:p>
    <w:p w:rsidR="00ED22CB" w:rsidRDefault="00ED22CB"/>
    <w:sectPr w:rsidR="00ED22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FE"/>
    <w:rsid w:val="00CE71FE"/>
    <w:rsid w:val="00ED2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ar">
    <w:name w:val="Texto Car"/>
    <w:basedOn w:val="Normal"/>
    <w:rsid w:val="00CE71FE"/>
    <w:pPr>
      <w:spacing w:after="101" w:line="216" w:lineRule="exact"/>
      <w:ind w:firstLine="288"/>
      <w:jc w:val="both"/>
    </w:pPr>
    <w:rPr>
      <w:rFonts w:ascii="Arial" w:eastAsia="Times New Roman" w:hAnsi="Arial" w:cs="Arial"/>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ar">
    <w:name w:val="Texto Car"/>
    <w:basedOn w:val="Normal"/>
    <w:rsid w:val="00CE71FE"/>
    <w:pPr>
      <w:spacing w:after="101" w:line="216" w:lineRule="exact"/>
      <w:ind w:firstLine="288"/>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1718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Dalai SerA</dc:creator>
  <cp:lastModifiedBy>Dalai SerA</cp:lastModifiedBy>
  <cp:revision>1</cp:revision>
  <dcterms:created xsi:type="dcterms:W3CDTF">2012-12-17T00:45:00Z</dcterms:created>
  <dcterms:modified xsi:type="dcterms:W3CDTF">2012-12-17T00:46:00Z</dcterms:modified>
</cp:coreProperties>
</file>