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363" w:type="dxa"/>
        <w:tblInd w:w="-676" w:type="dxa"/>
        <w:tblLayout w:type="fixed"/>
        <w:tblLook w:val="04A0" w:firstRow="1" w:lastRow="0" w:firstColumn="1" w:lastColumn="0" w:noHBand="0" w:noVBand="1"/>
      </w:tblPr>
      <w:tblGrid>
        <w:gridCol w:w="1242"/>
        <w:gridCol w:w="243"/>
        <w:gridCol w:w="1553"/>
        <w:gridCol w:w="1417"/>
        <w:gridCol w:w="1559"/>
        <w:gridCol w:w="1850"/>
        <w:gridCol w:w="1033"/>
        <w:gridCol w:w="1417"/>
        <w:gridCol w:w="1094"/>
        <w:gridCol w:w="141"/>
        <w:gridCol w:w="1560"/>
        <w:gridCol w:w="1254"/>
      </w:tblGrid>
      <w:tr w:rsidR="00375F1A" w:rsidRPr="00E90F03" w:rsidTr="006D4558">
        <w:tc>
          <w:tcPr>
            <w:tcW w:w="1242"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EDUCACIÓN</w:t>
            </w:r>
          </w:p>
        </w:tc>
        <w:tc>
          <w:tcPr>
            <w:tcW w:w="1796" w:type="dxa"/>
            <w:gridSpan w:val="2"/>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SOCIOECONÓMICO</w:t>
            </w:r>
          </w:p>
        </w:tc>
        <w:tc>
          <w:tcPr>
            <w:tcW w:w="1417"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CONFLICTOS</w:t>
            </w:r>
          </w:p>
        </w:tc>
        <w:tc>
          <w:tcPr>
            <w:tcW w:w="1559"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ORGANIZACIÓN SOCIAL</w:t>
            </w:r>
          </w:p>
        </w:tc>
        <w:tc>
          <w:tcPr>
            <w:tcW w:w="1850"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POBLACIONES VULNERABLES</w:t>
            </w:r>
          </w:p>
        </w:tc>
        <w:tc>
          <w:tcPr>
            <w:tcW w:w="1033"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COMUNICACIÓN</w:t>
            </w:r>
          </w:p>
        </w:tc>
        <w:tc>
          <w:tcPr>
            <w:tcW w:w="1417"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SALUD</w:t>
            </w:r>
          </w:p>
        </w:tc>
        <w:tc>
          <w:tcPr>
            <w:tcW w:w="1235" w:type="dxa"/>
            <w:gridSpan w:val="2"/>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POLÍTICO</w:t>
            </w:r>
          </w:p>
        </w:tc>
        <w:tc>
          <w:tcPr>
            <w:tcW w:w="1560"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INCLUSIÓN SOCIAL</w:t>
            </w:r>
          </w:p>
        </w:tc>
        <w:tc>
          <w:tcPr>
            <w:tcW w:w="1254" w:type="dxa"/>
            <w:vAlign w:val="center"/>
          </w:tcPr>
          <w:p w:rsidR="00375F1A" w:rsidRPr="00E90F03" w:rsidRDefault="00375F1A" w:rsidP="006D4558">
            <w:pPr>
              <w:jc w:val="center"/>
              <w:rPr>
                <w:rFonts w:ascii="Arial" w:hAnsi="Arial" w:cs="Arial"/>
                <w:color w:val="9BBB59" w:themeColor="accent3"/>
              </w:rPr>
            </w:pPr>
            <w:r w:rsidRPr="00E90F03">
              <w:rPr>
                <w:rFonts w:cstheme="minorHAnsi"/>
                <w:color w:val="9BBB59" w:themeColor="accent3"/>
                <w:sz w:val="20"/>
                <w:szCs w:val="20"/>
              </w:rPr>
              <w:t>AMBIENTAL</w:t>
            </w:r>
          </w:p>
        </w:tc>
      </w:tr>
      <w:tr w:rsidR="00375F1A" w:rsidRPr="00E90F03" w:rsidTr="006D4558">
        <w:trPr>
          <w:trHeight w:val="342"/>
        </w:trPr>
        <w:tc>
          <w:tcPr>
            <w:tcW w:w="14363" w:type="dxa"/>
            <w:gridSpan w:val="12"/>
            <w:vAlign w:val="center"/>
          </w:tcPr>
          <w:p w:rsidR="00375F1A" w:rsidRPr="00E90F03" w:rsidRDefault="00375F1A" w:rsidP="006D4558">
            <w:pPr>
              <w:pStyle w:val="Ttulo2"/>
              <w:jc w:val="center"/>
              <w:outlineLvl w:val="1"/>
              <w:rPr>
                <w:rFonts w:ascii="Arial" w:hAnsi="Arial" w:cs="Arial"/>
                <w:sz w:val="24"/>
                <w:szCs w:val="24"/>
              </w:rPr>
            </w:pPr>
            <w:r>
              <w:rPr>
                <w:rFonts w:ascii="Arial" w:hAnsi="Arial" w:cs="Arial"/>
                <w:sz w:val="24"/>
                <w:szCs w:val="24"/>
              </w:rPr>
              <w:t>M</w:t>
            </w:r>
            <w:r w:rsidRPr="00E90F03">
              <w:rPr>
                <w:rFonts w:ascii="Arial" w:hAnsi="Arial" w:cs="Arial"/>
                <w:sz w:val="24"/>
                <w:szCs w:val="24"/>
              </w:rPr>
              <w:t xml:space="preserve">UNICIPIO DE </w:t>
            </w:r>
            <w:r>
              <w:rPr>
                <w:rFonts w:ascii="Arial" w:hAnsi="Arial" w:cs="Arial"/>
                <w:sz w:val="24"/>
                <w:szCs w:val="24"/>
              </w:rPr>
              <w:t>TUNJA</w:t>
            </w:r>
            <w:r w:rsidRPr="00E90F03">
              <w:rPr>
                <w:rFonts w:ascii="Arial" w:hAnsi="Arial" w:cs="Arial"/>
                <w:sz w:val="24"/>
                <w:szCs w:val="24"/>
              </w:rPr>
              <w:t xml:space="preserve"> (BOYACÁ)</w:t>
            </w:r>
          </w:p>
        </w:tc>
      </w:tr>
      <w:tr w:rsidR="00375F1A" w:rsidRPr="000C5FB0" w:rsidTr="006D4558">
        <w:trPr>
          <w:trHeight w:val="7366"/>
        </w:trPr>
        <w:tc>
          <w:tcPr>
            <w:tcW w:w="1485" w:type="dxa"/>
            <w:gridSpan w:val="2"/>
            <w:vAlign w:val="center"/>
          </w:tcPr>
          <w:p w:rsidR="00375F1A" w:rsidRPr="000C5FB0" w:rsidRDefault="00375F1A" w:rsidP="006D4558">
            <w:pPr>
              <w:spacing w:before="100" w:beforeAutospacing="1" w:after="100" w:afterAutospacing="1"/>
              <w:jc w:val="center"/>
              <w:outlineLvl w:val="2"/>
              <w:rPr>
                <w:rFonts w:ascii="Arial" w:hAnsi="Arial" w:cs="Arial"/>
                <w:sz w:val="16"/>
                <w:szCs w:val="16"/>
              </w:rPr>
            </w:pPr>
            <w:proofErr w:type="spellStart"/>
            <w:r w:rsidRPr="000C5FB0">
              <w:rPr>
                <w:rFonts w:ascii="Arial" w:eastAsia="Times New Roman" w:hAnsi="Arial" w:cs="Arial"/>
                <w:bCs/>
                <w:sz w:val="16"/>
                <w:szCs w:val="16"/>
                <w:lang w:eastAsia="es-CO"/>
              </w:rPr>
              <w:t>Colegios</w:t>
            </w:r>
            <w:r w:rsidRPr="000C5FB0">
              <w:rPr>
                <w:rFonts w:ascii="Arial" w:hAnsi="Arial" w:cs="Arial"/>
                <w:sz w:val="16"/>
                <w:szCs w:val="16"/>
              </w:rPr>
              <w:t>Entre</w:t>
            </w:r>
            <w:proofErr w:type="spellEnd"/>
            <w:r w:rsidRPr="000C5FB0">
              <w:rPr>
                <w:rFonts w:ascii="Arial" w:hAnsi="Arial" w:cs="Arial"/>
                <w:sz w:val="16"/>
                <w:szCs w:val="16"/>
              </w:rPr>
              <w:t xml:space="preserve"> los colegios más relevantes se </w:t>
            </w:r>
            <w:proofErr w:type="spellStart"/>
            <w:r w:rsidRPr="000C5FB0">
              <w:rPr>
                <w:rFonts w:ascii="Arial" w:hAnsi="Arial" w:cs="Arial"/>
                <w:sz w:val="16"/>
                <w:szCs w:val="16"/>
              </w:rPr>
              <w:t>encuentran:AmericanSchool</w:t>
            </w:r>
            <w:proofErr w:type="spellEnd"/>
            <w:r w:rsidRPr="000C5FB0">
              <w:rPr>
                <w:rFonts w:ascii="Arial" w:hAnsi="Arial" w:cs="Arial"/>
                <w:sz w:val="16"/>
                <w:szCs w:val="16"/>
              </w:rPr>
              <w:t xml:space="preserve"> Saint Francés</w:t>
            </w:r>
          </w:p>
          <w:p w:rsidR="00375F1A" w:rsidRPr="000C5FB0" w:rsidRDefault="00375F1A" w:rsidP="006D4558">
            <w:pPr>
              <w:jc w:val="center"/>
              <w:rPr>
                <w:rFonts w:ascii="Arial" w:hAnsi="Arial" w:cs="Arial"/>
                <w:sz w:val="16"/>
                <w:szCs w:val="16"/>
              </w:rPr>
            </w:pPr>
            <w:r w:rsidRPr="000C5FB0">
              <w:rPr>
                <w:rFonts w:ascii="Arial" w:hAnsi="Arial" w:cs="Arial"/>
                <w:sz w:val="16"/>
                <w:szCs w:val="16"/>
              </w:rPr>
              <w:t>Colegio Los Ángeles</w:t>
            </w:r>
          </w:p>
          <w:p w:rsidR="00375F1A" w:rsidRPr="000C5FB0" w:rsidRDefault="00375F1A" w:rsidP="006D4558">
            <w:pPr>
              <w:jc w:val="center"/>
              <w:rPr>
                <w:rFonts w:ascii="Arial" w:hAnsi="Arial" w:cs="Arial"/>
                <w:sz w:val="16"/>
                <w:szCs w:val="16"/>
              </w:rPr>
            </w:pPr>
            <w:r w:rsidRPr="000C5FB0">
              <w:rPr>
                <w:rFonts w:ascii="Arial" w:hAnsi="Arial" w:cs="Arial"/>
                <w:sz w:val="16"/>
                <w:szCs w:val="16"/>
              </w:rPr>
              <w:t>Colegio Campestre</w:t>
            </w:r>
          </w:p>
          <w:p w:rsidR="00375F1A" w:rsidRPr="000C5FB0" w:rsidRDefault="00375F1A" w:rsidP="006D4558">
            <w:pPr>
              <w:jc w:val="center"/>
              <w:rPr>
                <w:rFonts w:ascii="Arial" w:hAnsi="Arial" w:cs="Arial"/>
                <w:sz w:val="16"/>
                <w:szCs w:val="16"/>
              </w:rPr>
            </w:pPr>
            <w:r w:rsidRPr="000C5FB0">
              <w:rPr>
                <w:rFonts w:ascii="Arial" w:hAnsi="Arial" w:cs="Arial"/>
                <w:sz w:val="16"/>
                <w:szCs w:val="16"/>
              </w:rPr>
              <w:t>Colegio Salesiano Maldonado</w:t>
            </w:r>
          </w:p>
          <w:p w:rsidR="00375F1A" w:rsidRPr="000C5FB0" w:rsidRDefault="00375F1A" w:rsidP="006D4558">
            <w:pPr>
              <w:jc w:val="center"/>
              <w:rPr>
                <w:rFonts w:ascii="Arial" w:hAnsi="Arial" w:cs="Arial"/>
                <w:sz w:val="16"/>
                <w:szCs w:val="16"/>
              </w:rPr>
            </w:pPr>
            <w:r w:rsidRPr="000C5FB0">
              <w:rPr>
                <w:rFonts w:ascii="Arial" w:hAnsi="Arial" w:cs="Arial"/>
                <w:sz w:val="16"/>
                <w:szCs w:val="16"/>
              </w:rPr>
              <w:t>Colegio INEM Carlos Arturo Torres</w:t>
            </w:r>
          </w:p>
          <w:p w:rsidR="00375F1A" w:rsidRPr="000C5FB0" w:rsidRDefault="00375F1A" w:rsidP="006D4558">
            <w:pPr>
              <w:jc w:val="center"/>
              <w:rPr>
                <w:rFonts w:ascii="Arial" w:eastAsia="Times New Roman" w:hAnsi="Arial" w:cs="Arial"/>
                <w:bCs/>
                <w:sz w:val="16"/>
                <w:szCs w:val="16"/>
                <w:lang w:eastAsia="es-CO"/>
              </w:rPr>
            </w:pPr>
            <w:r w:rsidRPr="000C5FB0">
              <w:rPr>
                <w:rFonts w:ascii="Arial" w:hAnsi="Arial" w:cs="Arial"/>
                <w:sz w:val="16"/>
                <w:szCs w:val="16"/>
              </w:rPr>
              <w:t xml:space="preserve">Colegio de </w:t>
            </w:r>
            <w:proofErr w:type="spellStart"/>
            <w:r w:rsidRPr="000C5FB0">
              <w:rPr>
                <w:rFonts w:ascii="Arial" w:hAnsi="Arial" w:cs="Arial"/>
                <w:sz w:val="16"/>
                <w:szCs w:val="16"/>
              </w:rPr>
              <w:t>Boyacá</w:t>
            </w:r>
            <w:r w:rsidRPr="000C5FB0">
              <w:rPr>
                <w:rFonts w:ascii="Arial" w:eastAsia="Times New Roman" w:hAnsi="Arial" w:cs="Arial"/>
                <w:bCs/>
                <w:sz w:val="16"/>
                <w:szCs w:val="16"/>
                <w:lang w:eastAsia="es-CO"/>
              </w:rPr>
              <w:t>Educación</w:t>
            </w:r>
            <w:proofErr w:type="spellEnd"/>
            <w:r w:rsidRPr="000C5FB0">
              <w:rPr>
                <w:rFonts w:ascii="Arial" w:eastAsia="Times New Roman" w:hAnsi="Arial" w:cs="Arial"/>
                <w:bCs/>
                <w:sz w:val="16"/>
                <w:szCs w:val="16"/>
                <w:lang w:eastAsia="es-CO"/>
              </w:rPr>
              <w:t xml:space="preserve"> Superior</w:t>
            </w:r>
          </w:p>
          <w:p w:rsidR="00375F1A" w:rsidRPr="000C5FB0" w:rsidRDefault="00375F1A" w:rsidP="006D4558">
            <w:pPr>
              <w:keepNext/>
              <w:keepLines/>
              <w:spacing w:before="200"/>
              <w:jc w:val="center"/>
              <w:outlineLvl w:val="3"/>
              <w:rPr>
                <w:rFonts w:ascii="Arial" w:eastAsiaTheme="majorEastAsia" w:hAnsi="Arial" w:cs="Arial"/>
                <w:bCs/>
                <w:iCs/>
                <w:sz w:val="16"/>
                <w:szCs w:val="16"/>
              </w:rPr>
            </w:pPr>
            <w:r w:rsidRPr="000C5FB0">
              <w:rPr>
                <w:rFonts w:ascii="Arial" w:eastAsiaTheme="majorEastAsia" w:hAnsi="Arial" w:cs="Arial"/>
                <w:bCs/>
                <w:iCs/>
                <w:sz w:val="16"/>
                <w:szCs w:val="16"/>
              </w:rPr>
              <w:t>Universidades</w:t>
            </w:r>
          </w:p>
          <w:p w:rsidR="00375F1A" w:rsidRPr="000C5FB0" w:rsidRDefault="00375F1A" w:rsidP="006D4558">
            <w:pPr>
              <w:jc w:val="center"/>
              <w:rPr>
                <w:rFonts w:ascii="Arial" w:hAnsi="Arial" w:cs="Arial"/>
                <w:sz w:val="16"/>
                <w:szCs w:val="16"/>
              </w:rPr>
            </w:pPr>
            <w:r w:rsidRPr="000C5FB0">
              <w:rPr>
                <w:rFonts w:ascii="Arial" w:hAnsi="Arial" w:cs="Arial"/>
                <w:sz w:val="16"/>
                <w:szCs w:val="16"/>
              </w:rPr>
              <w:t>Universidad Pedagógica y Tecnológica de Colombia</w:t>
            </w:r>
          </w:p>
          <w:p w:rsidR="00375F1A" w:rsidRPr="000C5FB0" w:rsidRDefault="00375F1A" w:rsidP="006D4558">
            <w:pPr>
              <w:jc w:val="center"/>
              <w:rPr>
                <w:rFonts w:ascii="Arial" w:hAnsi="Arial" w:cs="Arial"/>
                <w:sz w:val="16"/>
                <w:szCs w:val="16"/>
              </w:rPr>
            </w:pPr>
            <w:r w:rsidRPr="000C5FB0">
              <w:rPr>
                <w:rFonts w:ascii="Arial" w:hAnsi="Arial" w:cs="Arial"/>
                <w:sz w:val="16"/>
                <w:szCs w:val="16"/>
              </w:rPr>
              <w:t>Universidad Santo Tomás</w:t>
            </w:r>
          </w:p>
          <w:p w:rsidR="00375F1A" w:rsidRPr="000C5FB0" w:rsidRDefault="00375F1A" w:rsidP="006D4558">
            <w:pPr>
              <w:jc w:val="center"/>
              <w:rPr>
                <w:rFonts w:ascii="Arial" w:hAnsi="Arial" w:cs="Arial"/>
                <w:sz w:val="16"/>
                <w:szCs w:val="16"/>
              </w:rPr>
            </w:pPr>
            <w:r w:rsidRPr="000C5FB0">
              <w:rPr>
                <w:rFonts w:ascii="Arial" w:hAnsi="Arial" w:cs="Arial"/>
                <w:sz w:val="16"/>
                <w:szCs w:val="16"/>
              </w:rPr>
              <w:t>Universidad de Boyacá</w:t>
            </w:r>
          </w:p>
          <w:p w:rsidR="00375F1A" w:rsidRPr="000C5FB0" w:rsidRDefault="00375F1A" w:rsidP="006D4558">
            <w:pPr>
              <w:jc w:val="center"/>
              <w:rPr>
                <w:rFonts w:ascii="Arial" w:hAnsi="Arial" w:cs="Arial"/>
                <w:sz w:val="16"/>
                <w:szCs w:val="16"/>
              </w:rPr>
            </w:pPr>
            <w:r w:rsidRPr="000C5FB0">
              <w:rPr>
                <w:rFonts w:ascii="Arial" w:hAnsi="Arial" w:cs="Arial"/>
                <w:sz w:val="16"/>
                <w:szCs w:val="16"/>
              </w:rPr>
              <w:t>Universidad Nacional Abierta y a Distancia</w:t>
            </w:r>
          </w:p>
          <w:p w:rsidR="00375F1A" w:rsidRPr="000C5FB0" w:rsidRDefault="00375F1A" w:rsidP="006D4558">
            <w:pPr>
              <w:jc w:val="center"/>
              <w:rPr>
                <w:rFonts w:ascii="Arial" w:hAnsi="Arial" w:cs="Arial"/>
                <w:sz w:val="16"/>
                <w:szCs w:val="16"/>
              </w:rPr>
            </w:pPr>
            <w:r w:rsidRPr="000C5FB0">
              <w:rPr>
                <w:rFonts w:ascii="Arial" w:hAnsi="Arial" w:cs="Arial"/>
                <w:sz w:val="16"/>
                <w:szCs w:val="16"/>
              </w:rPr>
              <w:t>Universidad Antonio Nariño</w:t>
            </w:r>
          </w:p>
          <w:p w:rsidR="00375F1A" w:rsidRPr="000C5FB0" w:rsidRDefault="00375F1A" w:rsidP="006D4558">
            <w:pPr>
              <w:jc w:val="center"/>
              <w:rPr>
                <w:rFonts w:ascii="Arial" w:hAnsi="Arial" w:cs="Arial"/>
                <w:sz w:val="16"/>
                <w:szCs w:val="16"/>
              </w:rPr>
            </w:pPr>
            <w:r w:rsidRPr="000C5FB0">
              <w:rPr>
                <w:rFonts w:ascii="Arial" w:hAnsi="Arial" w:cs="Arial"/>
                <w:sz w:val="16"/>
                <w:szCs w:val="16"/>
              </w:rPr>
              <w:t>Fundación Universitaria Juan de Castellanos</w:t>
            </w:r>
          </w:p>
        </w:tc>
        <w:tc>
          <w:tcPr>
            <w:tcW w:w="1553" w:type="dxa"/>
            <w:vAlign w:val="center"/>
          </w:tcPr>
          <w:p w:rsidR="00375F1A" w:rsidRPr="000C5FB0" w:rsidRDefault="00375F1A" w:rsidP="006D4558">
            <w:pPr>
              <w:jc w:val="center"/>
              <w:rPr>
                <w:rFonts w:ascii="Arial" w:hAnsi="Arial" w:cs="Arial"/>
                <w:bCs/>
                <w:sz w:val="16"/>
                <w:szCs w:val="16"/>
              </w:rPr>
            </w:pPr>
            <w:r w:rsidRPr="000C5FB0">
              <w:rPr>
                <w:rFonts w:ascii="Arial" w:hAnsi="Arial" w:cs="Arial"/>
                <w:bCs/>
                <w:sz w:val="16"/>
                <w:szCs w:val="16"/>
              </w:rPr>
              <w:t>Se basa principalmente en la producción agrícola y ganadera, la explotación de minerales, la industria siderúrgica, el comercio y el turismo.</w:t>
            </w:r>
          </w:p>
          <w:p w:rsidR="00375F1A" w:rsidRPr="000C5FB0" w:rsidRDefault="00375F1A" w:rsidP="006D4558">
            <w:pPr>
              <w:jc w:val="center"/>
              <w:rPr>
                <w:rFonts w:ascii="Arial" w:hAnsi="Arial" w:cs="Arial"/>
                <w:sz w:val="16"/>
                <w:szCs w:val="16"/>
              </w:rPr>
            </w:pPr>
            <w:r w:rsidRPr="000C5FB0">
              <w:rPr>
                <w:rFonts w:ascii="Arial" w:hAnsi="Arial" w:cs="Arial"/>
                <w:bCs/>
                <w:sz w:val="16"/>
                <w:szCs w:val="16"/>
              </w:rPr>
              <w:t>La agricultura se ha desarrollado y tecnificado en los últimos años; los principales cultivos son papa, maíz, cebolla, trigo, cebada, caña panelera, yuca. La ganadería constituye otro de los renglones i</w:t>
            </w:r>
            <w:r>
              <w:rPr>
                <w:rFonts w:ascii="Arial" w:hAnsi="Arial" w:cs="Arial"/>
                <w:bCs/>
                <w:sz w:val="16"/>
                <w:szCs w:val="16"/>
              </w:rPr>
              <w:t>m</w:t>
            </w:r>
            <w:r w:rsidRPr="000C5FB0">
              <w:rPr>
                <w:rFonts w:ascii="Arial" w:hAnsi="Arial" w:cs="Arial"/>
                <w:bCs/>
                <w:sz w:val="16"/>
                <w:szCs w:val="16"/>
              </w:rPr>
              <w:t>portantes de su economía: ganado vacuno, porcino, equino, asnal, mular, caprino y ovino.</w:t>
            </w:r>
          </w:p>
        </w:tc>
        <w:tc>
          <w:tcPr>
            <w:tcW w:w="1417"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 xml:space="preserve">Debido a que Tunja es una ciudad pequeña y </w:t>
            </w:r>
            <w:proofErr w:type="spellStart"/>
            <w:r w:rsidRPr="000C5FB0">
              <w:rPr>
                <w:rFonts w:ascii="Arial" w:hAnsi="Arial" w:cs="Arial"/>
                <w:sz w:val="16"/>
                <w:szCs w:val="16"/>
              </w:rPr>
              <w:t>tambiéndebida</w:t>
            </w:r>
            <w:proofErr w:type="spellEnd"/>
            <w:r w:rsidRPr="000C5FB0">
              <w:rPr>
                <w:rFonts w:ascii="Arial" w:hAnsi="Arial" w:cs="Arial"/>
                <w:sz w:val="16"/>
                <w:szCs w:val="16"/>
              </w:rPr>
              <w:t xml:space="preserve"> a que no existen grupos armados cerca no se presentan o son muy raros casos de secuestro o conflictos.</w:t>
            </w:r>
          </w:p>
        </w:tc>
        <w:tc>
          <w:tcPr>
            <w:tcW w:w="1559"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En esta ciudad la organización de la vida social y del nuevo orden de la convivencia humana, que estimula la transformación de las estructuras, según los criterios de la justicia social. El bien común es pensar en comunidad, en solidaridad, en defensa de los derechos y deberes del hombre y la mujer, pero también comprende el cumplimiento de las normas establecidas por nuestros gobiernos sin olvidar el sentido de la justicia social.</w:t>
            </w:r>
          </w:p>
        </w:tc>
        <w:tc>
          <w:tcPr>
            <w:tcW w:w="1850"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Existen características de hacinamiento, marginalidad, densidad demográfica, bajos ingresos que producen deterioro social, problemas de salubridad, de seguridad que no garantizan el desarrollo apropiado de la educación, la salud y el bienestar general de una familia.</w:t>
            </w:r>
          </w:p>
          <w:p w:rsidR="00375F1A" w:rsidRPr="000C5FB0" w:rsidRDefault="00375F1A" w:rsidP="006D4558">
            <w:pPr>
              <w:jc w:val="center"/>
              <w:rPr>
                <w:rFonts w:ascii="Arial" w:hAnsi="Arial" w:cs="Arial"/>
                <w:sz w:val="16"/>
                <w:szCs w:val="16"/>
              </w:rPr>
            </w:pPr>
            <w:r w:rsidRPr="000C5FB0">
              <w:rPr>
                <w:rFonts w:ascii="Arial" w:hAnsi="Arial" w:cs="Arial"/>
                <w:sz w:val="16"/>
                <w:szCs w:val="16"/>
              </w:rPr>
              <w:t xml:space="preserve">En la ciudad la población </w:t>
            </w:r>
            <w:proofErr w:type="gramStart"/>
            <w:r w:rsidRPr="000C5FB0">
              <w:rPr>
                <w:rFonts w:ascii="Arial" w:hAnsi="Arial" w:cs="Arial"/>
                <w:sz w:val="16"/>
                <w:szCs w:val="16"/>
              </w:rPr>
              <w:t>mas</w:t>
            </w:r>
            <w:proofErr w:type="gramEnd"/>
            <w:r w:rsidRPr="000C5FB0">
              <w:rPr>
                <w:rFonts w:ascii="Arial" w:hAnsi="Arial" w:cs="Arial"/>
                <w:sz w:val="16"/>
                <w:szCs w:val="16"/>
              </w:rPr>
              <w:t xml:space="preserve"> vulnerable se encuentra en los estratos bajos.</w:t>
            </w:r>
          </w:p>
        </w:tc>
        <w:tc>
          <w:tcPr>
            <w:tcW w:w="1033"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 xml:space="preserve">Existen cerca de 20 emisoras en </w:t>
            </w:r>
            <w:proofErr w:type="spellStart"/>
            <w:r w:rsidRPr="000C5FB0">
              <w:rPr>
                <w:rFonts w:ascii="Arial" w:hAnsi="Arial" w:cs="Arial"/>
                <w:sz w:val="16"/>
                <w:szCs w:val="16"/>
              </w:rPr>
              <w:t>fm</w:t>
            </w:r>
            <w:proofErr w:type="spellEnd"/>
            <w:r w:rsidRPr="000C5FB0">
              <w:rPr>
                <w:rFonts w:ascii="Arial" w:hAnsi="Arial" w:cs="Arial"/>
                <w:sz w:val="16"/>
                <w:szCs w:val="16"/>
              </w:rPr>
              <w:t xml:space="preserve"> y am y 5 periódicos y 4 canales de tv, igualmente por ser capital de departamento cuenta con conexiones de fibra óptica y satelitales que permiten acceder a internet de manera masiva.</w:t>
            </w:r>
          </w:p>
        </w:tc>
        <w:tc>
          <w:tcPr>
            <w:tcW w:w="1417"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La Secretaria de Protección Social de la ciudad de Tunja debe asegurar la cobertura, calidad y oportunidad de la seguridad social para toda la población Tunjana, mediante la afiliación, planes, programas, proyectos con el propósito de hacer real su integración y participación en los procesos de prevención, atención y aseguramiento especialmente a la población más vulnerable, buscando siempre la reinserción al tejido social, la educación y el empleo a fin de mejorar la calidad de vida.</w:t>
            </w:r>
          </w:p>
        </w:tc>
        <w:tc>
          <w:tcPr>
            <w:tcW w:w="1094"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Los ciudadanos jóvenes podemos liderar y hacer parte de la lucha por persuadir a los ciudadanos en general, sobre la importancia de vincularnos a la política y generar escenarios diferentes a los que conocemos de corrupción.</w:t>
            </w:r>
          </w:p>
        </w:tc>
        <w:tc>
          <w:tcPr>
            <w:tcW w:w="1701" w:type="dxa"/>
            <w:gridSpan w:val="2"/>
            <w:vAlign w:val="center"/>
          </w:tcPr>
          <w:p w:rsidR="00375F1A" w:rsidRPr="000C5FB0" w:rsidRDefault="00375F1A" w:rsidP="006D4558">
            <w:pPr>
              <w:jc w:val="center"/>
              <w:rPr>
                <w:rFonts w:ascii="Arial" w:hAnsi="Arial" w:cs="Arial"/>
                <w:bCs/>
                <w:iCs/>
                <w:sz w:val="16"/>
                <w:szCs w:val="16"/>
              </w:rPr>
            </w:pPr>
            <w:r w:rsidRPr="000C5FB0">
              <w:rPr>
                <w:rFonts w:ascii="Arial" w:hAnsi="Arial" w:cs="Arial"/>
                <w:sz w:val="16"/>
                <w:szCs w:val="16"/>
              </w:rPr>
              <w:t xml:space="preserve">En el Cabildo Municipal se aprobó el Acuerdo Municipal </w:t>
            </w:r>
            <w:r w:rsidRPr="000C5FB0">
              <w:rPr>
                <w:rFonts w:ascii="Arial" w:hAnsi="Arial" w:cs="Arial"/>
                <w:bCs/>
                <w:iCs/>
                <w:sz w:val="16"/>
                <w:szCs w:val="16"/>
              </w:rPr>
              <w:t>“Por medio del cual se adopta la política pública de inclusión social para las personas con discapacidad de la ciudad de Tunja,  para el  periodo de 2011 – 2024”.</w:t>
            </w:r>
          </w:p>
          <w:p w:rsidR="00375F1A" w:rsidRPr="000C5FB0" w:rsidRDefault="00375F1A" w:rsidP="006D4558">
            <w:pPr>
              <w:jc w:val="center"/>
              <w:rPr>
                <w:rFonts w:ascii="Arial" w:hAnsi="Arial" w:cs="Arial"/>
                <w:sz w:val="16"/>
                <w:szCs w:val="16"/>
              </w:rPr>
            </w:pPr>
            <w:r w:rsidRPr="000C5FB0">
              <w:rPr>
                <w:rFonts w:ascii="Arial" w:hAnsi="Arial" w:cs="Arial"/>
                <w:sz w:val="16"/>
                <w:szCs w:val="16"/>
              </w:rPr>
              <w:t>Con esta nueva norma se beneficiará a la población con discapacidad en Tunja en aspectos muy importantes como el transporte en personas con discapacidad; la inclusión en la parte académica; la inclusión laboral para que las personas tengan la capacidad de generar sus propios ingresos; la inclusión en la parte deportiva, ya que es fundamental para los procesos de rehabilitación; los procesos culturales y todo lo que tiene que ver con salud y desarrollo comunitario.</w:t>
            </w:r>
          </w:p>
        </w:tc>
        <w:tc>
          <w:tcPr>
            <w:tcW w:w="1254" w:type="dxa"/>
            <w:vAlign w:val="center"/>
          </w:tcPr>
          <w:p w:rsidR="00375F1A" w:rsidRPr="000C5FB0" w:rsidRDefault="00375F1A" w:rsidP="006D4558">
            <w:pPr>
              <w:jc w:val="center"/>
              <w:rPr>
                <w:rFonts w:ascii="Arial" w:hAnsi="Arial" w:cs="Arial"/>
                <w:sz w:val="16"/>
                <w:szCs w:val="16"/>
              </w:rPr>
            </w:pPr>
            <w:r w:rsidRPr="000C5FB0">
              <w:rPr>
                <w:rFonts w:ascii="Arial" w:hAnsi="Arial" w:cs="Arial"/>
                <w:sz w:val="16"/>
                <w:szCs w:val="16"/>
              </w:rPr>
              <w:t>En la ciudad se desarrollan ferias ambientales Con el propósito de que los estudiantes se dieran cuenta que algunos residuos de las actividades diarias se pueden volver a utilizar y generando conciencia ambiental. En este espacio los niños exponían sus trabajos de reciclaje a todo el colegio.</w:t>
            </w:r>
          </w:p>
        </w:tc>
      </w:tr>
    </w:tbl>
    <w:p w:rsidR="00983EA1" w:rsidRDefault="00983EA1">
      <w:bookmarkStart w:id="0" w:name="_GoBack"/>
      <w:bookmarkEnd w:id="0"/>
    </w:p>
    <w:sectPr w:rsidR="00983EA1" w:rsidSect="00375F1A">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1A"/>
    <w:rsid w:val="00375F1A"/>
    <w:rsid w:val="0055338D"/>
    <w:rsid w:val="00983E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1A"/>
  </w:style>
  <w:style w:type="paragraph" w:styleId="Ttulo2">
    <w:name w:val="heading 2"/>
    <w:basedOn w:val="Normal"/>
    <w:next w:val="Normal"/>
    <w:link w:val="Ttulo2Car"/>
    <w:uiPriority w:val="9"/>
    <w:unhideWhenUsed/>
    <w:qFormat/>
    <w:rsid w:val="00375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5F1A"/>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375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F1A"/>
  </w:style>
  <w:style w:type="paragraph" w:styleId="Ttulo2">
    <w:name w:val="heading 2"/>
    <w:basedOn w:val="Normal"/>
    <w:next w:val="Normal"/>
    <w:link w:val="Ttulo2Car"/>
    <w:uiPriority w:val="9"/>
    <w:unhideWhenUsed/>
    <w:qFormat/>
    <w:rsid w:val="00375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5F1A"/>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375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3301</Characters>
  <Application>Microsoft Office Word</Application>
  <DocSecurity>0</DocSecurity>
  <Lines>27</Lines>
  <Paragraphs>7</Paragraphs>
  <ScaleCrop>false</ScaleCrop>
  <Company>Hewlett-Packard</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dm1-2070la</dc:creator>
  <cp:lastModifiedBy>dm1-2070la</cp:lastModifiedBy>
  <cp:revision>1</cp:revision>
  <dcterms:created xsi:type="dcterms:W3CDTF">2012-12-03T02:09:00Z</dcterms:created>
  <dcterms:modified xsi:type="dcterms:W3CDTF">2012-12-03T02:11:00Z</dcterms:modified>
</cp:coreProperties>
</file>