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4"/>
        <w:tblpPr w:leftFromText="141" w:rightFromText="141" w:vertAnchor="text" w:horzAnchor="margin" w:tblpXSpec="center" w:tblpY="-379"/>
        <w:tblW w:w="14363" w:type="dxa"/>
        <w:tblLayout w:type="fixed"/>
        <w:tblLook w:val="04A0" w:firstRow="1" w:lastRow="0" w:firstColumn="1" w:lastColumn="0" w:noHBand="0" w:noVBand="1"/>
      </w:tblPr>
      <w:tblGrid>
        <w:gridCol w:w="1242"/>
        <w:gridCol w:w="1796"/>
        <w:gridCol w:w="1417"/>
        <w:gridCol w:w="1559"/>
        <w:gridCol w:w="1850"/>
        <w:gridCol w:w="1033"/>
        <w:gridCol w:w="1417"/>
        <w:gridCol w:w="1417"/>
        <w:gridCol w:w="1228"/>
        <w:gridCol w:w="1404"/>
      </w:tblGrid>
      <w:tr w:rsidR="00ED67D1" w:rsidTr="00ED6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D67D1" w:rsidRPr="00E90F03" w:rsidRDefault="00ED67D1" w:rsidP="00ED67D1">
            <w:pPr>
              <w:jc w:val="center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EDUCACIÓN</w:t>
            </w:r>
          </w:p>
        </w:tc>
        <w:tc>
          <w:tcPr>
            <w:tcW w:w="1796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SOCIOECONÓMICO</w:t>
            </w:r>
          </w:p>
        </w:tc>
        <w:tc>
          <w:tcPr>
            <w:tcW w:w="1417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CONFLICTOS</w:t>
            </w:r>
          </w:p>
        </w:tc>
        <w:tc>
          <w:tcPr>
            <w:tcW w:w="1559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ORGANIZACIÓN SOCIAL</w:t>
            </w:r>
          </w:p>
        </w:tc>
        <w:tc>
          <w:tcPr>
            <w:tcW w:w="1850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POBLACIONES VULNERABLES</w:t>
            </w:r>
          </w:p>
        </w:tc>
        <w:tc>
          <w:tcPr>
            <w:tcW w:w="1033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COMUNICACIÓN</w:t>
            </w:r>
          </w:p>
        </w:tc>
        <w:tc>
          <w:tcPr>
            <w:tcW w:w="1417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SALUD</w:t>
            </w:r>
          </w:p>
        </w:tc>
        <w:tc>
          <w:tcPr>
            <w:tcW w:w="1417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POLÍTICO</w:t>
            </w:r>
          </w:p>
        </w:tc>
        <w:tc>
          <w:tcPr>
            <w:tcW w:w="1228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INCLUSIÓN SOCIAL</w:t>
            </w:r>
          </w:p>
        </w:tc>
        <w:tc>
          <w:tcPr>
            <w:tcW w:w="1404" w:type="dxa"/>
          </w:tcPr>
          <w:p w:rsidR="00ED67D1" w:rsidRPr="00E90F03" w:rsidRDefault="00ED67D1" w:rsidP="00ED6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9BBB59" w:themeColor="accent3"/>
              </w:rPr>
            </w:pPr>
            <w:r w:rsidRPr="00E90F03">
              <w:rPr>
                <w:rFonts w:cstheme="minorHAnsi"/>
                <w:color w:val="9BBB59" w:themeColor="accent3"/>
                <w:sz w:val="20"/>
                <w:szCs w:val="20"/>
              </w:rPr>
              <w:t>AMBIENTAL</w:t>
            </w:r>
          </w:p>
        </w:tc>
      </w:tr>
      <w:tr w:rsidR="00ED67D1" w:rsidTr="00ED6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3" w:type="dxa"/>
            <w:gridSpan w:val="10"/>
          </w:tcPr>
          <w:p w:rsidR="00ED67D1" w:rsidRPr="00E90F03" w:rsidRDefault="00ED67D1" w:rsidP="00ED67D1">
            <w:pPr>
              <w:pStyle w:val="Ttulo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90F03">
              <w:rPr>
                <w:rFonts w:ascii="Arial" w:hAnsi="Arial" w:cs="Arial"/>
                <w:sz w:val="24"/>
                <w:szCs w:val="24"/>
              </w:rPr>
              <w:t>MUNICIPIO DE DUITAMA (BOYACÁ)</w:t>
            </w:r>
          </w:p>
        </w:tc>
      </w:tr>
      <w:tr w:rsidR="00ED67D1" w:rsidTr="00ED6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ED67D1" w:rsidRPr="00303FE8" w:rsidRDefault="00ED67D1" w:rsidP="00ED67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La educación en Duitama esta muy bien orientada al desarrollo e  implementación de los modernos cambios que realiza la secretaria de educación, apoyando a cada uno de los establecimientos educativos de la ciudad de Duitama,</w:t>
            </w:r>
          </w:p>
          <w:p w:rsidR="00ED67D1" w:rsidRPr="00303FE8" w:rsidRDefault="00ED67D1" w:rsidP="00ED67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</w:tcPr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Duitama es uno de los centros Industriales y Artesanales de la región. Nuestra ciudad es famosa por los huertos frutales de manzana, peras, duraznos, curabas, y ciruelas. En sus tierras también se cosechan; papa, trigo, maíz, frijoles, cebada y hortalizas. Como cabecera de la provincia del </w:t>
            </w:r>
            <w:proofErr w:type="spellStart"/>
            <w:r w:rsidRPr="00303FE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Tundama</w:t>
            </w:r>
            <w:proofErr w:type="spellEnd"/>
            <w:r w:rsidRPr="00303FE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, Duitama es reconocida por sus talleres artesanales que producen desde finas y elaboradas cestas, pasando por los pañolones de macramé hasta mobiliario de estilo rústico colonial</w:t>
            </w:r>
          </w:p>
        </w:tc>
        <w:tc>
          <w:tcPr>
            <w:tcW w:w="1417" w:type="dxa"/>
          </w:tcPr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La inseguridad es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muy mínima comparada con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otros Municipios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y en esta región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no existen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conflictos entre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grupos de desadaptados socialmente</w:t>
            </w:r>
          </w:p>
        </w:tc>
        <w:tc>
          <w:tcPr>
            <w:tcW w:w="1559" w:type="dxa"/>
          </w:tcPr>
          <w:p w:rsidR="00ED67D1" w:rsidRPr="00303FE8" w:rsidRDefault="00ED67D1" w:rsidP="00ED67D1">
            <w:pPr>
              <w:pStyle w:val="NormalWeb"/>
              <w:shd w:val="clear" w:color="auto" w:fill="FFFFFF"/>
              <w:spacing w:before="96" w:beforeAutospacing="0" w:after="12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F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Duitama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es una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hyperlink r:id="rId7" w:tooltip="Ciudades de Colombia" w:history="1"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>ciudad colombiana</w:t>
              </w:r>
            </w:hyperlink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ubicada en el departamento de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hyperlink r:id="rId8" w:tooltip="Boyacá" w:history="1"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>Boyacá</w:t>
              </w:r>
            </w:hyperlink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, situada en el centro-oriente de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hyperlink r:id="rId9" w:tooltip="Colombia" w:history="1"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>Colombia</w:t>
              </w:r>
            </w:hyperlink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, en la región del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hyperlink r:id="rId10" w:tooltip="Alto Chicamocha" w:history="1"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 xml:space="preserve">Alto </w:t>
              </w:r>
              <w:proofErr w:type="spellStart"/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>Chicamocha</w:t>
              </w:r>
              <w:proofErr w:type="spellEnd"/>
            </w:hyperlink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. Cuenta, según el estimado para 2012, con una población de 111 367 habitantes. Duitama es la capital de la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hyperlink r:id="rId11" w:tooltip="Provincias de Colombia" w:history="1"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>provincia</w:t>
              </w:r>
            </w:hyperlink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del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"http://es.wikipedia.org/wiki/Provincia_de_Tundama" \o "Provincia de Tundama" </w:instrText>
            </w:r>
            <w:r>
              <w:fldChar w:fldCharType="separate"/>
            </w:r>
            <w:r w:rsidRPr="00303FE8">
              <w:rPr>
                <w:rStyle w:val="Hipervnculo"/>
                <w:rFonts w:ascii="Arial" w:eastAsiaTheme="majorEastAsia" w:hAnsi="Arial" w:cs="Arial"/>
                <w:color w:val="000000" w:themeColor="text1"/>
                <w:sz w:val="16"/>
                <w:szCs w:val="16"/>
              </w:rPr>
              <w:t>Tundama</w:t>
            </w:r>
            <w:proofErr w:type="spellEnd"/>
            <w:r>
              <w:rPr>
                <w:rStyle w:val="Hipervnculo"/>
                <w:rFonts w:ascii="Arial" w:eastAsiaTheme="majorEastAsia" w:hAnsi="Arial" w:cs="Arial"/>
                <w:color w:val="000000" w:themeColor="text1"/>
                <w:sz w:val="16"/>
                <w:szCs w:val="16"/>
                <w:u w:val="none"/>
              </w:rPr>
              <w:fldChar w:fldCharType="end"/>
            </w:r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. Se le conoce como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La Ciudad Cívica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y "La perla de Boyacá". Es el puerto transportador terrestre más importante del oriente colombiano al encontrarse sobre la</w:t>
            </w:r>
            <w:r w:rsidRPr="00303FE8">
              <w:rPr>
                <w:rStyle w:val="apple-converted-space"/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hyperlink r:id="rId12" w:tooltip="Troncal Central del Norte" w:history="1">
              <w:r w:rsidRPr="00303FE8">
                <w:rPr>
                  <w:rStyle w:val="Hipervnculo"/>
                  <w:rFonts w:ascii="Arial" w:eastAsiaTheme="majorEastAsia" w:hAnsi="Arial" w:cs="Arial"/>
                  <w:color w:val="000000" w:themeColor="text1"/>
                  <w:sz w:val="16"/>
                  <w:szCs w:val="16"/>
                </w:rPr>
                <w:t>Troncal Central del Norte</w:t>
              </w:r>
            </w:hyperlink>
            <w:r w:rsidRPr="00303FE8">
              <w:rPr>
                <w:rFonts w:ascii="Arial" w:hAnsi="Arial" w:cs="Arial"/>
                <w:color w:val="000000" w:themeColor="text1"/>
                <w:sz w:val="16"/>
                <w:szCs w:val="16"/>
              </w:rPr>
              <w:t>, y es un punto estratégico de las relaciones industriales y comerciales de esta región del país.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850" w:type="dxa"/>
          </w:tcPr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>Son los Barrios mas pobres que los servicios públicos son deficientes pero la alcaldía tiene unos proyectos a futuro corto para solucionar estos inconvenientes</w:t>
            </w:r>
          </w:p>
        </w:tc>
        <w:tc>
          <w:tcPr>
            <w:tcW w:w="1033" w:type="dxa"/>
          </w:tcPr>
          <w:p w:rsidR="00ED67D1" w:rsidRPr="00303FE8" w:rsidRDefault="00ED67D1" w:rsidP="00ED67D1">
            <w:pPr>
              <w:pStyle w:val="NormalWeb"/>
              <w:shd w:val="clear" w:color="auto" w:fill="FFFFFF"/>
              <w:spacing w:before="96" w:beforeAutospacing="0" w:after="12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El servicio de transporte público de la ciudad está conformado por: Transporte Público Colectivo de pasajeros, taxis urbanas, y ciclo vías.</w:t>
            </w:r>
          </w:p>
          <w:p w:rsidR="00ED67D1" w:rsidRPr="00303FE8" w:rsidRDefault="00ED67D1" w:rsidP="00ED67D1">
            <w:pPr>
              <w:pStyle w:val="Ttulo3"/>
              <w:shd w:val="clear" w:color="auto" w:fill="FFFFFF"/>
              <w:spacing w:before="0" w:beforeAutospacing="0" w:after="72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303FE8">
              <w:rPr>
                <w:rStyle w:val="mw-headline"/>
                <w:rFonts w:ascii="Arial" w:hAnsi="Arial" w:cs="Arial"/>
                <w:b w:val="0"/>
                <w:color w:val="000000"/>
                <w:sz w:val="16"/>
                <w:szCs w:val="16"/>
              </w:rPr>
              <w:t>Servicio público urbano de transporte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67D1" w:rsidRPr="00303FE8" w:rsidRDefault="00ED67D1" w:rsidP="00ED67D1">
            <w:pPr>
              <w:pStyle w:val="NormalWeb"/>
              <w:shd w:val="clear" w:color="auto" w:fill="FFFFFF"/>
              <w:spacing w:before="96" w:beforeAutospacing="0" w:after="12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La ciudad dispone de 18 instituciones prestadoras de salud, entre las cuales se destacan: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Hospital Regional de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Duitama.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Clínica Boyacá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.Clínica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Tundama</w:t>
            </w:r>
            <w:proofErr w:type="spellEnd"/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.Clínic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SaludCoop</w:t>
            </w:r>
            <w:proofErr w:type="spellEnd"/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E.S.E Salud del</w:t>
            </w:r>
          </w:p>
          <w:p w:rsidR="00ED67D1" w:rsidRPr="00303FE8" w:rsidRDefault="00ED67D1" w:rsidP="00ED67D1">
            <w:pPr>
              <w:shd w:val="clear" w:color="auto" w:fill="FFFFFF"/>
              <w:spacing w:before="100" w:beforeAutospacing="1" w:after="24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Tundama</w:t>
            </w:r>
            <w:proofErr w:type="spellEnd"/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Construir una sociedad que elimine la pobreza, que sea equitativa, solidaria, con plena protección social, educada, culta, participativa, tolerante, pacífica, y cohesionada. Especial énfasis le deberá dar al logro de un estado de bienestar social de los colombianos en donde se logre el pleno empleo, la salud, la educación y la posibilidad de una vivienda digna, pero también el desarrollo de las diferentes expresiones culturales, el arte, el deporte y la recreación, como parte sustancial del quehacer diario</w:t>
            </w:r>
          </w:p>
        </w:tc>
        <w:tc>
          <w:tcPr>
            <w:tcW w:w="1228" w:type="dxa"/>
          </w:tcPr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sz w:val="16"/>
                <w:szCs w:val="16"/>
              </w:rPr>
              <w:t xml:space="preserve">Se incluyen con programas a las personas con discapacidad en todo el sentido de la palabra gracias a un proyecto que adelanta la alcaldía de Duitama y que se desarrolla con la ayuda de </w:t>
            </w:r>
            <w:proofErr w:type="spellStart"/>
            <w:r w:rsidRPr="00303FE8">
              <w:rPr>
                <w:rFonts w:ascii="Arial" w:hAnsi="Arial" w:cs="Arial"/>
                <w:sz w:val="16"/>
                <w:szCs w:val="16"/>
              </w:rPr>
              <w:t>culturama</w:t>
            </w:r>
            <w:proofErr w:type="spellEnd"/>
            <w:r w:rsidRPr="00303F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04" w:type="dxa"/>
          </w:tcPr>
          <w:p w:rsidR="00ED67D1" w:rsidRPr="00303FE8" w:rsidRDefault="00ED67D1" w:rsidP="00ED67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03FE8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Flora nativa:</w:t>
            </w:r>
            <w:r w:rsidRPr="00303FE8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03FE8">
              <w:rPr>
                <w:rFonts w:ascii="Arial" w:hAnsi="Arial" w:cs="Arial"/>
                <w:color w:val="000000"/>
                <w:sz w:val="16"/>
                <w:szCs w:val="16"/>
              </w:rPr>
              <w:t>o autónoma de una zona es una clasificación que se basa en él los árboles predominantes en un área más o menos determinada. Se considera que la flora de los páramos ha tenido un doble origen.</w:t>
            </w:r>
          </w:p>
        </w:tc>
        <w:bookmarkStart w:id="0" w:name="_GoBack"/>
        <w:bookmarkEnd w:id="0"/>
      </w:tr>
    </w:tbl>
    <w:p w:rsidR="00DA5B17" w:rsidRPr="00ED67D1" w:rsidRDefault="00DA5B17" w:rsidP="00ED67D1">
      <w:pPr>
        <w:tabs>
          <w:tab w:val="left" w:pos="3585"/>
        </w:tabs>
        <w:jc w:val="both"/>
        <w:rPr>
          <w:u w:val="single"/>
        </w:rPr>
      </w:pPr>
    </w:p>
    <w:sectPr w:rsidR="00DA5B17" w:rsidRPr="00ED67D1" w:rsidSect="00ED67D1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19" w:rsidRDefault="00EF4F19" w:rsidP="00ED67D1">
      <w:pPr>
        <w:spacing w:after="0" w:line="240" w:lineRule="auto"/>
      </w:pPr>
      <w:r>
        <w:separator/>
      </w:r>
    </w:p>
  </w:endnote>
  <w:endnote w:type="continuationSeparator" w:id="0">
    <w:p w:rsidR="00EF4F19" w:rsidRDefault="00EF4F19" w:rsidP="00ED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19" w:rsidRDefault="00EF4F19" w:rsidP="00ED67D1">
      <w:pPr>
        <w:spacing w:after="0" w:line="240" w:lineRule="auto"/>
      </w:pPr>
      <w:r>
        <w:separator/>
      </w:r>
    </w:p>
  </w:footnote>
  <w:footnote w:type="continuationSeparator" w:id="0">
    <w:p w:rsidR="00EF4F19" w:rsidRDefault="00EF4F19" w:rsidP="00ED6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17"/>
    <w:rsid w:val="0055338D"/>
    <w:rsid w:val="00983EA1"/>
    <w:rsid w:val="00DA5B17"/>
    <w:rsid w:val="00ED67D1"/>
    <w:rsid w:val="00E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6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D6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6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D67D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table" w:styleId="Tablaconcuadrcula">
    <w:name w:val="Table Grid"/>
    <w:basedOn w:val="Tablanormal"/>
    <w:uiPriority w:val="59"/>
    <w:rsid w:val="00ED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ED67D1"/>
  </w:style>
  <w:style w:type="character" w:styleId="Hipervnculo">
    <w:name w:val="Hyperlink"/>
    <w:basedOn w:val="Fuentedeprrafopredeter"/>
    <w:uiPriority w:val="99"/>
    <w:unhideWhenUsed/>
    <w:rsid w:val="00ED67D1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ED67D1"/>
  </w:style>
  <w:style w:type="paragraph" w:styleId="Encabezado">
    <w:name w:val="header"/>
    <w:basedOn w:val="Normal"/>
    <w:link w:val="EncabezadoCar"/>
    <w:uiPriority w:val="99"/>
    <w:unhideWhenUsed/>
    <w:rsid w:val="00ED6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7D1"/>
  </w:style>
  <w:style w:type="paragraph" w:styleId="Piedepgina">
    <w:name w:val="footer"/>
    <w:basedOn w:val="Normal"/>
    <w:link w:val="PiedepginaCar"/>
    <w:uiPriority w:val="99"/>
    <w:unhideWhenUsed/>
    <w:rsid w:val="00ED6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7D1"/>
  </w:style>
  <w:style w:type="table" w:styleId="Sombreadoclaro-nfasis4">
    <w:name w:val="Light Shading Accent 4"/>
    <w:basedOn w:val="Tablanormal"/>
    <w:uiPriority w:val="60"/>
    <w:rsid w:val="00ED67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6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D6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6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D67D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table" w:styleId="Tablaconcuadrcula">
    <w:name w:val="Table Grid"/>
    <w:basedOn w:val="Tablanormal"/>
    <w:uiPriority w:val="59"/>
    <w:rsid w:val="00ED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ED67D1"/>
  </w:style>
  <w:style w:type="character" w:styleId="Hipervnculo">
    <w:name w:val="Hyperlink"/>
    <w:basedOn w:val="Fuentedeprrafopredeter"/>
    <w:uiPriority w:val="99"/>
    <w:unhideWhenUsed/>
    <w:rsid w:val="00ED67D1"/>
    <w:rPr>
      <w:color w:val="0000FF" w:themeColor="hyperlink"/>
      <w:u w:val="single"/>
    </w:rPr>
  </w:style>
  <w:style w:type="character" w:customStyle="1" w:styleId="mw-headline">
    <w:name w:val="mw-headline"/>
    <w:basedOn w:val="Fuentedeprrafopredeter"/>
    <w:rsid w:val="00ED67D1"/>
  </w:style>
  <w:style w:type="paragraph" w:styleId="Encabezado">
    <w:name w:val="header"/>
    <w:basedOn w:val="Normal"/>
    <w:link w:val="EncabezadoCar"/>
    <w:uiPriority w:val="99"/>
    <w:unhideWhenUsed/>
    <w:rsid w:val="00ED6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7D1"/>
  </w:style>
  <w:style w:type="paragraph" w:styleId="Piedepgina">
    <w:name w:val="footer"/>
    <w:basedOn w:val="Normal"/>
    <w:link w:val="PiedepginaCar"/>
    <w:uiPriority w:val="99"/>
    <w:unhideWhenUsed/>
    <w:rsid w:val="00ED67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7D1"/>
  </w:style>
  <w:style w:type="table" w:styleId="Sombreadoclaro-nfasis4">
    <w:name w:val="Light Shading Accent 4"/>
    <w:basedOn w:val="Tablanormal"/>
    <w:uiPriority w:val="60"/>
    <w:rsid w:val="00ED67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oyac%C3%A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Ciudades_de_Colombia" TargetMode="External"/><Relationship Id="rId12" Type="http://schemas.openxmlformats.org/officeDocument/2006/relationships/hyperlink" Target="http://es.wikipedia.org/wiki/Troncal_Central_del_Nor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s.wikipedia.org/wiki/Provincias_de_Colomb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s.wikipedia.org/wiki/Alto_Chicamoc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olomb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dm1-2070la</dc:creator>
  <cp:lastModifiedBy>dm1-2070la</cp:lastModifiedBy>
  <cp:revision>1</cp:revision>
  <dcterms:created xsi:type="dcterms:W3CDTF">2012-12-03T01:35:00Z</dcterms:created>
  <dcterms:modified xsi:type="dcterms:W3CDTF">2012-12-03T02:05:00Z</dcterms:modified>
</cp:coreProperties>
</file>