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901"/>
        <w:gridCol w:w="6743"/>
      </w:tblGrid>
      <w:tr w:rsidR="007F30EC" w:rsidTr="00953145">
        <w:trPr>
          <w:trHeight w:val="269"/>
        </w:trPr>
        <w:tc>
          <w:tcPr>
            <w:tcW w:w="8644" w:type="dxa"/>
            <w:gridSpan w:val="2"/>
          </w:tcPr>
          <w:p w:rsidR="007F30EC" w:rsidRDefault="007F30EC" w:rsidP="007F30EC">
            <w:pPr>
              <w:jc w:val="center"/>
            </w:pPr>
            <w:r w:rsidRPr="00953145">
              <w:rPr>
                <w:color w:val="5F497A" w:themeColor="accent4" w:themeShade="BF"/>
                <w:sz w:val="40"/>
              </w:rPr>
              <w:t>Tipos de bienes</w:t>
            </w:r>
          </w:p>
        </w:tc>
      </w:tr>
      <w:tr w:rsidR="007F30EC" w:rsidTr="007F30EC">
        <w:trPr>
          <w:trHeight w:val="347"/>
        </w:trPr>
        <w:tc>
          <w:tcPr>
            <w:tcW w:w="1901" w:type="dxa"/>
          </w:tcPr>
          <w:p w:rsidR="007F30EC" w:rsidRPr="00953145" w:rsidRDefault="007F30EC" w:rsidP="007F30EC">
            <w:pPr>
              <w:rPr>
                <w:color w:val="5F497A" w:themeColor="accent4" w:themeShade="BF"/>
              </w:rPr>
            </w:pPr>
            <w:r w:rsidRPr="00953145">
              <w:rPr>
                <w:color w:val="5F497A" w:themeColor="accent4" w:themeShade="BF"/>
              </w:rPr>
              <w:t>De consumo</w:t>
            </w:r>
          </w:p>
        </w:tc>
        <w:tc>
          <w:tcPr>
            <w:tcW w:w="6743" w:type="dxa"/>
          </w:tcPr>
          <w:p w:rsidR="007F30EC" w:rsidRDefault="007F30EC" w:rsidP="007F30EC">
            <w:r w:rsidRPr="007F30EC">
              <w:t xml:space="preserve">Se dedican directamente a satisfacer una determinada necesidad, como la mermelada o una lavadora. </w:t>
            </w:r>
          </w:p>
        </w:tc>
      </w:tr>
      <w:tr w:rsidR="007F30EC" w:rsidTr="007F30EC">
        <w:trPr>
          <w:trHeight w:val="355"/>
        </w:trPr>
        <w:tc>
          <w:tcPr>
            <w:tcW w:w="1901" w:type="dxa"/>
          </w:tcPr>
          <w:p w:rsidR="007F30EC" w:rsidRPr="00953145" w:rsidRDefault="007F30EC" w:rsidP="007F30EC">
            <w:pPr>
              <w:rPr>
                <w:color w:val="5F497A" w:themeColor="accent4" w:themeShade="BF"/>
              </w:rPr>
            </w:pPr>
            <w:r w:rsidRPr="00953145">
              <w:rPr>
                <w:color w:val="5F497A" w:themeColor="accent4" w:themeShade="BF"/>
              </w:rPr>
              <w:t>Duraderos</w:t>
            </w:r>
          </w:p>
        </w:tc>
        <w:tc>
          <w:tcPr>
            <w:tcW w:w="6743" w:type="dxa"/>
          </w:tcPr>
          <w:p w:rsidR="007F30EC" w:rsidRDefault="007F30EC" w:rsidP="007F30EC">
            <w:r w:rsidRPr="007F30EC">
              <w:t>Permiten un uso prolongado en el ti</w:t>
            </w:r>
            <w:r>
              <w:t>empo, por ejemplo, un televisor.</w:t>
            </w:r>
          </w:p>
          <w:p w:rsidR="007F30EC" w:rsidRPr="007F30EC" w:rsidRDefault="007F30EC" w:rsidP="007F30EC"/>
        </w:tc>
      </w:tr>
      <w:tr w:rsidR="007F30EC" w:rsidTr="007F30EC">
        <w:trPr>
          <w:trHeight w:val="348"/>
        </w:trPr>
        <w:tc>
          <w:tcPr>
            <w:tcW w:w="1901" w:type="dxa"/>
          </w:tcPr>
          <w:p w:rsidR="007F30EC" w:rsidRPr="00953145" w:rsidRDefault="007F30EC" w:rsidP="007F30EC">
            <w:pPr>
              <w:rPr>
                <w:color w:val="5F497A" w:themeColor="accent4" w:themeShade="BF"/>
              </w:rPr>
            </w:pPr>
            <w:r w:rsidRPr="00953145">
              <w:rPr>
                <w:color w:val="5F497A" w:themeColor="accent4" w:themeShade="BF"/>
              </w:rPr>
              <w:t>No duraderos</w:t>
            </w:r>
          </w:p>
        </w:tc>
        <w:tc>
          <w:tcPr>
            <w:tcW w:w="6743" w:type="dxa"/>
          </w:tcPr>
          <w:p w:rsidR="007F30EC" w:rsidRPr="007F30EC" w:rsidRDefault="007F30EC" w:rsidP="007F30EC">
            <w:r w:rsidRPr="007F30EC">
              <w:t>Desaparecen</w:t>
            </w:r>
            <w:r w:rsidRPr="007F30EC">
              <w:t xml:space="preserve"> una vez consumidos </w:t>
            </w:r>
            <w:r w:rsidRPr="007F30EC">
              <w:t>(una manzana).</w:t>
            </w:r>
          </w:p>
        </w:tc>
      </w:tr>
      <w:tr w:rsidR="007F30EC" w:rsidTr="007F30EC">
        <w:tc>
          <w:tcPr>
            <w:tcW w:w="1901" w:type="dxa"/>
          </w:tcPr>
          <w:p w:rsidR="007F30EC" w:rsidRPr="00953145" w:rsidRDefault="007F30EC" w:rsidP="007F30EC">
            <w:pPr>
              <w:rPr>
                <w:color w:val="5F497A" w:themeColor="accent4" w:themeShade="BF"/>
              </w:rPr>
            </w:pPr>
            <w:r w:rsidRPr="00953145">
              <w:rPr>
                <w:color w:val="5F497A" w:themeColor="accent4" w:themeShade="BF"/>
              </w:rPr>
              <w:t>De capital</w:t>
            </w:r>
            <w:bookmarkStart w:id="0" w:name="_GoBack"/>
            <w:bookmarkEnd w:id="0"/>
          </w:p>
        </w:tc>
        <w:tc>
          <w:tcPr>
            <w:tcW w:w="6743" w:type="dxa"/>
          </w:tcPr>
          <w:p w:rsidR="007F30EC" w:rsidRDefault="007F30EC" w:rsidP="007F30EC">
            <w:r>
              <w:t>T</w:t>
            </w:r>
            <w:r w:rsidRPr="007F30EC">
              <w:t>ambién conocidos como bienes de producción, sirven para obtener otros bienes (por ejemplo, un telar). Se puede dar el caso de que un mismo bien sea de consumo o de producción según el uso que se le de. Así, un martillo en la casa de una familia cualquiera es un bien de consumo mientras que, en una carpintería, sería un bien de producción, pues se utiliza para hacer muebles.</w:t>
            </w:r>
          </w:p>
        </w:tc>
      </w:tr>
      <w:tr w:rsidR="007F30EC" w:rsidTr="007F30EC">
        <w:tc>
          <w:tcPr>
            <w:tcW w:w="1901" w:type="dxa"/>
          </w:tcPr>
          <w:p w:rsidR="007F30EC" w:rsidRPr="00953145" w:rsidRDefault="007F30EC" w:rsidP="007F30EC">
            <w:pPr>
              <w:rPr>
                <w:color w:val="5F497A" w:themeColor="accent4" w:themeShade="BF"/>
              </w:rPr>
            </w:pPr>
            <w:r w:rsidRPr="00953145">
              <w:rPr>
                <w:color w:val="5F497A" w:themeColor="accent4" w:themeShade="BF"/>
              </w:rPr>
              <w:t>Intermedios</w:t>
            </w:r>
          </w:p>
        </w:tc>
        <w:tc>
          <w:tcPr>
            <w:tcW w:w="6743" w:type="dxa"/>
          </w:tcPr>
          <w:p w:rsidR="007F30EC" w:rsidRDefault="00953145" w:rsidP="007F30EC">
            <w:r w:rsidRPr="00953145">
              <w:t>Son los que se emplean para ser transformados o incorporados a la producción de otros bienes</w:t>
            </w:r>
            <w:r>
              <w:t>.</w:t>
            </w:r>
          </w:p>
        </w:tc>
      </w:tr>
      <w:tr w:rsidR="007F30EC" w:rsidTr="007F30EC">
        <w:tc>
          <w:tcPr>
            <w:tcW w:w="1901" w:type="dxa"/>
          </w:tcPr>
          <w:p w:rsidR="007F30EC" w:rsidRPr="00953145" w:rsidRDefault="007F30EC" w:rsidP="007F30EC">
            <w:pPr>
              <w:rPr>
                <w:color w:val="5F497A" w:themeColor="accent4" w:themeShade="BF"/>
              </w:rPr>
            </w:pPr>
            <w:r w:rsidRPr="00953145">
              <w:rPr>
                <w:color w:val="5F497A" w:themeColor="accent4" w:themeShade="BF"/>
              </w:rPr>
              <w:t>Finales</w:t>
            </w:r>
          </w:p>
        </w:tc>
        <w:tc>
          <w:tcPr>
            <w:tcW w:w="6743" w:type="dxa"/>
          </w:tcPr>
          <w:p w:rsidR="007F30EC" w:rsidRDefault="00953145" w:rsidP="007F30EC">
            <w:r w:rsidRPr="00953145">
              <w:t>Son aquellos que ya son aptos para el consumo. Por ejemplo, una plancha de madera es un bien intermedio que se emplea para producir una mesa (bien final).</w:t>
            </w:r>
          </w:p>
        </w:tc>
      </w:tr>
      <w:tr w:rsidR="007F30EC" w:rsidTr="007F30EC">
        <w:tc>
          <w:tcPr>
            <w:tcW w:w="1901" w:type="dxa"/>
          </w:tcPr>
          <w:p w:rsidR="007F30EC" w:rsidRPr="00953145" w:rsidRDefault="007F30EC" w:rsidP="007F30EC">
            <w:pPr>
              <w:rPr>
                <w:color w:val="5F497A" w:themeColor="accent4" w:themeShade="BF"/>
              </w:rPr>
            </w:pPr>
            <w:r w:rsidRPr="00953145">
              <w:rPr>
                <w:color w:val="5F497A" w:themeColor="accent4" w:themeShade="BF"/>
              </w:rPr>
              <w:t>Privados</w:t>
            </w:r>
          </w:p>
        </w:tc>
        <w:tc>
          <w:tcPr>
            <w:tcW w:w="6743" w:type="dxa"/>
          </w:tcPr>
          <w:p w:rsidR="007F30EC" w:rsidRDefault="00953145" w:rsidP="007F30EC">
            <w:r>
              <w:t>L</w:t>
            </w:r>
            <w:r w:rsidRPr="00953145">
              <w:t>os de uso particular (mi moto,….)</w:t>
            </w:r>
          </w:p>
        </w:tc>
      </w:tr>
      <w:tr w:rsidR="007F30EC" w:rsidTr="007F30EC">
        <w:tc>
          <w:tcPr>
            <w:tcW w:w="1901" w:type="dxa"/>
          </w:tcPr>
          <w:p w:rsidR="007F30EC" w:rsidRPr="00953145" w:rsidRDefault="007F30EC" w:rsidP="007F30EC">
            <w:pPr>
              <w:rPr>
                <w:color w:val="5F497A" w:themeColor="accent4" w:themeShade="BF"/>
              </w:rPr>
            </w:pPr>
            <w:r w:rsidRPr="00953145">
              <w:rPr>
                <w:color w:val="5F497A" w:themeColor="accent4" w:themeShade="BF"/>
              </w:rPr>
              <w:t>Públicos</w:t>
            </w:r>
          </w:p>
        </w:tc>
        <w:tc>
          <w:tcPr>
            <w:tcW w:w="6743" w:type="dxa"/>
          </w:tcPr>
          <w:p w:rsidR="007F30EC" w:rsidRDefault="00953145" w:rsidP="007F30EC">
            <w:r w:rsidRPr="00953145">
              <w:t>Aquellos donde ninguna persona es excluida de su utilización (parques, bibliotecas,…)</w:t>
            </w:r>
          </w:p>
        </w:tc>
      </w:tr>
      <w:tr w:rsidR="007F30EC" w:rsidTr="007F30EC">
        <w:tc>
          <w:tcPr>
            <w:tcW w:w="1901" w:type="dxa"/>
          </w:tcPr>
          <w:p w:rsidR="007F30EC" w:rsidRPr="00953145" w:rsidRDefault="007F30EC" w:rsidP="007F30EC">
            <w:pPr>
              <w:rPr>
                <w:color w:val="5F497A" w:themeColor="accent4" w:themeShade="BF"/>
              </w:rPr>
            </w:pPr>
            <w:r w:rsidRPr="00953145">
              <w:rPr>
                <w:color w:val="5F497A" w:themeColor="accent4" w:themeShade="BF"/>
              </w:rPr>
              <w:t>Complementarios</w:t>
            </w:r>
          </w:p>
        </w:tc>
        <w:tc>
          <w:tcPr>
            <w:tcW w:w="6743" w:type="dxa"/>
          </w:tcPr>
          <w:p w:rsidR="007F30EC" w:rsidRDefault="00953145" w:rsidP="007F30EC">
            <w:r w:rsidRPr="00953145">
              <w:t>Aquellos que deben utilizarse conjuntamente para satisfacer determinada necesidad (el coche y la gasolina).</w:t>
            </w:r>
          </w:p>
        </w:tc>
      </w:tr>
      <w:tr w:rsidR="007F30EC" w:rsidTr="007F30EC">
        <w:tblPrEx>
          <w:tblCellMar>
            <w:left w:w="70" w:type="dxa"/>
            <w:right w:w="70" w:type="dxa"/>
          </w:tblCellMar>
          <w:tblLook w:val="0000" w:firstRow="0" w:lastRow="0" w:firstColumn="0" w:lastColumn="0" w:noHBand="0" w:noVBand="0"/>
        </w:tblPrEx>
        <w:trPr>
          <w:trHeight w:val="231"/>
        </w:trPr>
        <w:tc>
          <w:tcPr>
            <w:tcW w:w="1901" w:type="dxa"/>
          </w:tcPr>
          <w:p w:rsidR="007F30EC" w:rsidRPr="00953145" w:rsidRDefault="007F30EC" w:rsidP="007F30EC">
            <w:pPr>
              <w:rPr>
                <w:color w:val="5F497A" w:themeColor="accent4" w:themeShade="BF"/>
              </w:rPr>
            </w:pPr>
            <w:r w:rsidRPr="00953145">
              <w:rPr>
                <w:color w:val="5F497A" w:themeColor="accent4" w:themeShade="BF"/>
              </w:rPr>
              <w:t>Sustitutivos</w:t>
            </w:r>
          </w:p>
        </w:tc>
        <w:tc>
          <w:tcPr>
            <w:tcW w:w="6743" w:type="dxa"/>
          </w:tcPr>
          <w:p w:rsidR="007F30EC" w:rsidRDefault="00953145" w:rsidP="007F30EC">
            <w:r>
              <w:t>S</w:t>
            </w:r>
            <w:r w:rsidRPr="00953145">
              <w:t>on los que cubren una misma necesidad, es decir, si se consume uno no es preciso consumir el otro (gafas y lentillas)</w:t>
            </w:r>
          </w:p>
        </w:tc>
      </w:tr>
      <w:tr w:rsidR="007F30EC" w:rsidTr="007F30EC">
        <w:tblPrEx>
          <w:tblCellMar>
            <w:left w:w="70" w:type="dxa"/>
            <w:right w:w="70" w:type="dxa"/>
          </w:tblCellMar>
          <w:tblLook w:val="0000" w:firstRow="0" w:lastRow="0" w:firstColumn="0" w:lastColumn="0" w:noHBand="0" w:noVBand="0"/>
        </w:tblPrEx>
        <w:trPr>
          <w:trHeight w:val="255"/>
        </w:trPr>
        <w:tc>
          <w:tcPr>
            <w:tcW w:w="1901" w:type="dxa"/>
          </w:tcPr>
          <w:p w:rsidR="007F30EC" w:rsidRPr="00953145" w:rsidRDefault="007F30EC" w:rsidP="007F30EC">
            <w:pPr>
              <w:rPr>
                <w:color w:val="5F497A" w:themeColor="accent4" w:themeShade="BF"/>
              </w:rPr>
            </w:pPr>
            <w:r w:rsidRPr="00953145">
              <w:rPr>
                <w:color w:val="5F497A" w:themeColor="accent4" w:themeShade="BF"/>
              </w:rPr>
              <w:t>Libres</w:t>
            </w:r>
          </w:p>
        </w:tc>
        <w:tc>
          <w:tcPr>
            <w:tcW w:w="6743" w:type="dxa"/>
          </w:tcPr>
          <w:p w:rsidR="007F30EC" w:rsidRDefault="00953145" w:rsidP="007F30EC">
            <w:r w:rsidRPr="00953145">
              <w:t>Los que son ilimitados y, por ello, están disponibles de forma gratuita para todos, por ejemplo, el aire o la luz del Sol.</w:t>
            </w:r>
          </w:p>
        </w:tc>
      </w:tr>
      <w:tr w:rsidR="007F30EC" w:rsidTr="007F30EC">
        <w:tblPrEx>
          <w:tblCellMar>
            <w:left w:w="70" w:type="dxa"/>
            <w:right w:w="70" w:type="dxa"/>
          </w:tblCellMar>
          <w:tblLook w:val="0000" w:firstRow="0" w:lastRow="0" w:firstColumn="0" w:lastColumn="0" w:noHBand="0" w:noVBand="0"/>
        </w:tblPrEx>
        <w:trPr>
          <w:trHeight w:val="278"/>
        </w:trPr>
        <w:tc>
          <w:tcPr>
            <w:tcW w:w="1901" w:type="dxa"/>
          </w:tcPr>
          <w:p w:rsidR="007F30EC" w:rsidRPr="00953145" w:rsidRDefault="007F30EC" w:rsidP="007F30EC">
            <w:pPr>
              <w:rPr>
                <w:color w:val="5F497A" w:themeColor="accent4" w:themeShade="BF"/>
              </w:rPr>
            </w:pPr>
            <w:r w:rsidRPr="00953145">
              <w:rPr>
                <w:color w:val="5F497A" w:themeColor="accent4" w:themeShade="BF"/>
              </w:rPr>
              <w:t>Económicos</w:t>
            </w:r>
          </w:p>
        </w:tc>
        <w:tc>
          <w:tcPr>
            <w:tcW w:w="6743" w:type="dxa"/>
          </w:tcPr>
          <w:p w:rsidR="007F30EC" w:rsidRDefault="00953145" w:rsidP="007F30EC">
            <w:r>
              <w:t>T</w:t>
            </w:r>
            <w:r w:rsidRPr="00953145">
              <w:t>odos aquellos que son escasos y, por tanto, tienen un precio.</w:t>
            </w:r>
          </w:p>
        </w:tc>
      </w:tr>
    </w:tbl>
    <w:p w:rsidR="007F30EC" w:rsidRPr="007F30EC" w:rsidRDefault="007F30EC" w:rsidP="007F30EC"/>
    <w:sectPr w:rsidR="007F30EC" w:rsidRPr="007F3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EC"/>
    <w:rsid w:val="007F30EC"/>
    <w:rsid w:val="00953145"/>
    <w:rsid w:val="00D86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2012-10-31T02:14:00Z</dcterms:created>
  <dcterms:modified xsi:type="dcterms:W3CDTF">2012-10-31T03:21:00Z</dcterms:modified>
</cp:coreProperties>
</file>