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57" w:rsidRDefault="00796B3E">
      <w:r w:rsidRPr="00796B3E">
        <w:t>Las externalidades o efectos externossurgen cuando la producción o elconsumo de un bien afectadirectamente a consumidores oempresas que no participan en sucompra ni en su venta, y cuando esosefectos secundarios de la produccióno del consumo no se reflejantotalmente en los precios delmercado.</w:t>
      </w:r>
    </w:p>
    <w:sectPr w:rsidR="004E4F57" w:rsidSect="004E4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96B3E"/>
    <w:rsid w:val="004E4F57"/>
    <w:rsid w:val="0079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248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FOXRUDO</dc:creator>
  <cp:lastModifiedBy>FOXRUDO</cp:lastModifiedBy>
  <cp:revision>1</cp:revision>
  <dcterms:created xsi:type="dcterms:W3CDTF">2012-10-25T21:46:00Z</dcterms:created>
  <dcterms:modified xsi:type="dcterms:W3CDTF">2012-10-25T21:49:00Z</dcterms:modified>
</cp:coreProperties>
</file>