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BC4" w:rsidRPr="00924360" w:rsidRDefault="0023323E" w:rsidP="00537484">
      <w:pPr>
        <w:pBdr>
          <w:bottom w:val="single" w:sz="6" w:space="1" w:color="auto"/>
        </w:pBdr>
        <w:tabs>
          <w:tab w:val="left" w:pos="3495"/>
        </w:tabs>
        <w:rPr>
          <w:rFonts w:ascii="Arial" w:hAnsi="Arial" w:cs="Arial"/>
          <w:b/>
          <w:sz w:val="24"/>
          <w:szCs w:val="24"/>
        </w:rPr>
      </w:pPr>
      <w:r w:rsidRPr="00924360">
        <w:rPr>
          <w:b/>
        </w:rPr>
        <w:t xml:space="preserve"> </w:t>
      </w:r>
      <w:r w:rsidRPr="00924360">
        <w:rPr>
          <w:rFonts w:ascii="Arial" w:hAnsi="Arial" w:cs="Arial"/>
          <w:b/>
          <w:sz w:val="24"/>
          <w:szCs w:val="24"/>
        </w:rPr>
        <w:t>Minutes</w:t>
      </w:r>
    </w:p>
    <w:tbl>
      <w:tblPr>
        <w:tblStyle w:val="TableGrid"/>
        <w:tblW w:w="10490" w:type="dxa"/>
        <w:tblInd w:w="25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386"/>
        <w:gridCol w:w="5104"/>
      </w:tblGrid>
      <w:tr w:rsidR="0023323E" w:rsidRPr="0023323E" w:rsidTr="00537484">
        <w:tc>
          <w:tcPr>
            <w:tcW w:w="5386" w:type="dxa"/>
          </w:tcPr>
          <w:p w:rsidR="0023323E" w:rsidRPr="00354A83" w:rsidRDefault="0023323E" w:rsidP="00537484">
            <w:pPr>
              <w:tabs>
                <w:tab w:val="left" w:pos="3495"/>
              </w:tabs>
              <w:rPr>
                <w:rFonts w:ascii="Arial" w:hAnsi="Arial" w:cs="Arial"/>
                <w:sz w:val="24"/>
                <w:szCs w:val="24"/>
              </w:rPr>
            </w:pPr>
            <w:r w:rsidRPr="00354A83">
              <w:rPr>
                <w:rFonts w:ascii="Arial" w:hAnsi="Arial" w:cs="Arial"/>
                <w:sz w:val="24"/>
                <w:szCs w:val="24"/>
              </w:rPr>
              <w:t>Date</w:t>
            </w:r>
            <w:r w:rsidR="002A5D94">
              <w:rPr>
                <w:rFonts w:ascii="Arial" w:hAnsi="Arial" w:cs="Arial"/>
                <w:sz w:val="24"/>
                <w:szCs w:val="24"/>
              </w:rPr>
              <w:t xml:space="preserve"> 18</w:t>
            </w:r>
            <w:r w:rsidR="002A5D94" w:rsidRPr="002A5D94">
              <w:rPr>
                <w:rFonts w:ascii="Arial" w:hAnsi="Arial" w:cs="Arial"/>
                <w:sz w:val="24"/>
                <w:szCs w:val="24"/>
                <w:vertAlign w:val="superscript"/>
              </w:rPr>
              <w:t>th</w:t>
            </w:r>
            <w:r w:rsidR="002A5D94">
              <w:rPr>
                <w:rFonts w:ascii="Arial" w:hAnsi="Arial" w:cs="Arial"/>
                <w:sz w:val="24"/>
                <w:szCs w:val="24"/>
              </w:rPr>
              <w:t xml:space="preserve"> October</w:t>
            </w:r>
          </w:p>
        </w:tc>
        <w:tc>
          <w:tcPr>
            <w:tcW w:w="5104" w:type="dxa"/>
          </w:tcPr>
          <w:p w:rsidR="0023323E" w:rsidRPr="00354A83" w:rsidRDefault="0023323E" w:rsidP="00537484">
            <w:pPr>
              <w:tabs>
                <w:tab w:val="left" w:pos="2385"/>
              </w:tabs>
              <w:rPr>
                <w:rFonts w:ascii="Arial" w:hAnsi="Arial" w:cs="Arial"/>
                <w:sz w:val="24"/>
                <w:szCs w:val="24"/>
              </w:rPr>
            </w:pPr>
            <w:r w:rsidRPr="00354A83">
              <w:rPr>
                <w:rFonts w:ascii="Arial" w:hAnsi="Arial" w:cs="Arial"/>
                <w:sz w:val="24"/>
                <w:szCs w:val="24"/>
              </w:rPr>
              <w:t xml:space="preserve">Start Time:    </w:t>
            </w:r>
            <w:r w:rsidR="002A5D94">
              <w:rPr>
                <w:rFonts w:ascii="Arial" w:hAnsi="Arial" w:cs="Arial"/>
                <w:sz w:val="24"/>
                <w:szCs w:val="24"/>
              </w:rPr>
              <w:t>3.45pm</w:t>
            </w:r>
            <w:r w:rsidRPr="00354A83">
              <w:rPr>
                <w:rFonts w:ascii="Arial" w:hAnsi="Arial" w:cs="Arial"/>
                <w:sz w:val="24"/>
                <w:szCs w:val="24"/>
              </w:rPr>
              <w:t xml:space="preserve">       </w:t>
            </w:r>
            <w:r w:rsidR="00354A83">
              <w:rPr>
                <w:rFonts w:ascii="Arial" w:hAnsi="Arial" w:cs="Arial"/>
                <w:sz w:val="24"/>
                <w:szCs w:val="24"/>
              </w:rPr>
              <w:tab/>
            </w:r>
          </w:p>
        </w:tc>
      </w:tr>
      <w:tr w:rsidR="0023323E" w:rsidRPr="0023323E" w:rsidTr="00537484">
        <w:tc>
          <w:tcPr>
            <w:tcW w:w="5386" w:type="dxa"/>
          </w:tcPr>
          <w:p w:rsidR="0023323E" w:rsidRPr="00354A83" w:rsidRDefault="0023323E" w:rsidP="00537484">
            <w:pPr>
              <w:tabs>
                <w:tab w:val="left" w:pos="3495"/>
              </w:tabs>
              <w:rPr>
                <w:rFonts w:ascii="Arial" w:hAnsi="Arial" w:cs="Arial"/>
                <w:sz w:val="24"/>
                <w:szCs w:val="24"/>
              </w:rPr>
            </w:pPr>
            <w:r w:rsidRPr="00354A83">
              <w:rPr>
                <w:rFonts w:ascii="Arial" w:hAnsi="Arial" w:cs="Arial"/>
                <w:sz w:val="24"/>
                <w:szCs w:val="24"/>
              </w:rPr>
              <w:t xml:space="preserve">Venue:  </w:t>
            </w:r>
            <w:r w:rsidR="002A5D94">
              <w:rPr>
                <w:rFonts w:ascii="Arial" w:hAnsi="Arial" w:cs="Arial"/>
                <w:sz w:val="24"/>
                <w:szCs w:val="24"/>
              </w:rPr>
              <w:t>St Columbans College</w:t>
            </w:r>
            <w:r w:rsidRPr="00354A83">
              <w:rPr>
                <w:rFonts w:ascii="Arial" w:hAnsi="Arial" w:cs="Arial"/>
                <w:sz w:val="24"/>
                <w:szCs w:val="24"/>
              </w:rPr>
              <w:t xml:space="preserve">             </w:t>
            </w:r>
          </w:p>
        </w:tc>
        <w:tc>
          <w:tcPr>
            <w:tcW w:w="5104" w:type="dxa"/>
          </w:tcPr>
          <w:p w:rsidR="0023323E" w:rsidRPr="00354A83" w:rsidRDefault="0023323E" w:rsidP="00537484">
            <w:pPr>
              <w:tabs>
                <w:tab w:val="left" w:pos="3495"/>
              </w:tabs>
              <w:rPr>
                <w:rFonts w:ascii="Arial" w:hAnsi="Arial" w:cs="Arial"/>
                <w:sz w:val="24"/>
                <w:szCs w:val="24"/>
              </w:rPr>
            </w:pPr>
            <w:r w:rsidRPr="00354A83">
              <w:rPr>
                <w:rFonts w:ascii="Arial" w:hAnsi="Arial" w:cs="Arial"/>
                <w:sz w:val="24"/>
                <w:szCs w:val="24"/>
              </w:rPr>
              <w:t xml:space="preserve">Chair Person:    </w:t>
            </w:r>
            <w:r w:rsidR="002A5D94">
              <w:rPr>
                <w:rFonts w:ascii="Arial" w:hAnsi="Arial" w:cs="Arial"/>
                <w:sz w:val="24"/>
                <w:szCs w:val="24"/>
              </w:rPr>
              <w:t>K Ruddy</w:t>
            </w:r>
            <w:r w:rsidRPr="00354A83">
              <w:rPr>
                <w:rFonts w:ascii="Arial" w:hAnsi="Arial" w:cs="Arial"/>
                <w:sz w:val="24"/>
                <w:szCs w:val="24"/>
              </w:rPr>
              <w:t xml:space="preserve">   </w:t>
            </w:r>
          </w:p>
        </w:tc>
      </w:tr>
      <w:tr w:rsidR="0023323E" w:rsidRPr="0023323E" w:rsidTr="00537484">
        <w:tc>
          <w:tcPr>
            <w:tcW w:w="10490" w:type="dxa"/>
            <w:gridSpan w:val="2"/>
          </w:tcPr>
          <w:p w:rsidR="0023323E" w:rsidRPr="00354A83" w:rsidRDefault="0023323E" w:rsidP="00537484">
            <w:pPr>
              <w:tabs>
                <w:tab w:val="left" w:pos="3495"/>
              </w:tabs>
              <w:rPr>
                <w:rFonts w:ascii="Arial" w:hAnsi="Arial" w:cs="Arial"/>
                <w:sz w:val="24"/>
                <w:szCs w:val="24"/>
              </w:rPr>
            </w:pPr>
            <w:r w:rsidRPr="00354A83">
              <w:rPr>
                <w:rFonts w:ascii="Arial" w:hAnsi="Arial" w:cs="Arial"/>
                <w:sz w:val="24"/>
                <w:szCs w:val="24"/>
              </w:rPr>
              <w:t xml:space="preserve">Attendees:  </w:t>
            </w:r>
            <w:r w:rsidR="002A5D94">
              <w:rPr>
                <w:rFonts w:ascii="Arial" w:hAnsi="Arial" w:cs="Arial"/>
                <w:sz w:val="24"/>
                <w:szCs w:val="24"/>
              </w:rPr>
              <w:t>Kate Ruddy, Sherryl Gregory, Bronwyn Dickinson MRBC, Matthew Neil QUT</w:t>
            </w:r>
            <w:r w:rsidRPr="00354A83">
              <w:rPr>
                <w:rFonts w:ascii="Arial" w:hAnsi="Arial" w:cs="Arial"/>
                <w:sz w:val="24"/>
                <w:szCs w:val="24"/>
              </w:rPr>
              <w:t xml:space="preserve">   </w:t>
            </w:r>
            <w:r w:rsidR="002A5D94">
              <w:rPr>
                <w:rFonts w:ascii="Arial" w:hAnsi="Arial" w:cs="Arial"/>
                <w:sz w:val="24"/>
                <w:szCs w:val="24"/>
              </w:rPr>
              <w:t>Tom McCue</w:t>
            </w:r>
            <w:r w:rsidRPr="00354A83">
              <w:rPr>
                <w:rFonts w:ascii="Arial" w:hAnsi="Arial" w:cs="Arial"/>
                <w:sz w:val="24"/>
                <w:szCs w:val="24"/>
              </w:rPr>
              <w:t xml:space="preserve">    </w:t>
            </w:r>
          </w:p>
        </w:tc>
      </w:tr>
      <w:tr w:rsidR="0023323E" w:rsidRPr="0023323E" w:rsidTr="00537484">
        <w:tc>
          <w:tcPr>
            <w:tcW w:w="10490" w:type="dxa"/>
            <w:gridSpan w:val="2"/>
          </w:tcPr>
          <w:p w:rsidR="0023323E" w:rsidRPr="00354A83" w:rsidRDefault="0023323E" w:rsidP="00537484">
            <w:pPr>
              <w:tabs>
                <w:tab w:val="left" w:pos="3495"/>
              </w:tabs>
              <w:rPr>
                <w:rFonts w:ascii="Arial" w:hAnsi="Arial" w:cs="Arial"/>
                <w:sz w:val="24"/>
                <w:szCs w:val="24"/>
              </w:rPr>
            </w:pPr>
            <w:r w:rsidRPr="00354A83">
              <w:rPr>
                <w:rFonts w:ascii="Arial" w:hAnsi="Arial" w:cs="Arial"/>
                <w:sz w:val="24"/>
                <w:szCs w:val="24"/>
              </w:rPr>
              <w:t xml:space="preserve">Apologies:   </w:t>
            </w:r>
            <w:r w:rsidR="002A5D94">
              <w:rPr>
                <w:rFonts w:ascii="Arial" w:hAnsi="Arial" w:cs="Arial"/>
                <w:sz w:val="24"/>
                <w:szCs w:val="24"/>
              </w:rPr>
              <w:t>Kris McCue, Rae Ellis</w:t>
            </w:r>
            <w:r w:rsidRPr="00354A83">
              <w:rPr>
                <w:rFonts w:ascii="Arial" w:hAnsi="Arial" w:cs="Arial"/>
                <w:sz w:val="24"/>
                <w:szCs w:val="24"/>
              </w:rPr>
              <w:t xml:space="preserve">      </w:t>
            </w:r>
          </w:p>
        </w:tc>
      </w:tr>
      <w:tr w:rsidR="0023323E" w:rsidRPr="0023323E" w:rsidTr="00537484">
        <w:tc>
          <w:tcPr>
            <w:tcW w:w="10490" w:type="dxa"/>
            <w:gridSpan w:val="2"/>
          </w:tcPr>
          <w:p w:rsidR="0023323E" w:rsidRPr="00354A83" w:rsidRDefault="0023323E" w:rsidP="00537484">
            <w:pPr>
              <w:tabs>
                <w:tab w:val="left" w:pos="3495"/>
              </w:tabs>
              <w:rPr>
                <w:rFonts w:ascii="Arial" w:hAnsi="Arial" w:cs="Arial"/>
                <w:sz w:val="24"/>
                <w:szCs w:val="24"/>
              </w:rPr>
            </w:pPr>
            <w:r w:rsidRPr="00354A83">
              <w:rPr>
                <w:rFonts w:ascii="Arial" w:hAnsi="Arial" w:cs="Arial"/>
                <w:sz w:val="24"/>
                <w:szCs w:val="24"/>
              </w:rPr>
              <w:t xml:space="preserve">Minute Taker:  </w:t>
            </w:r>
            <w:r w:rsidR="002A5D94">
              <w:rPr>
                <w:rFonts w:ascii="Arial" w:hAnsi="Arial" w:cs="Arial"/>
                <w:sz w:val="24"/>
                <w:szCs w:val="24"/>
              </w:rPr>
              <w:t>TM</w:t>
            </w:r>
            <w:r w:rsidRPr="00354A83">
              <w:rPr>
                <w:rFonts w:ascii="Arial" w:hAnsi="Arial" w:cs="Arial"/>
                <w:sz w:val="24"/>
                <w:szCs w:val="24"/>
              </w:rPr>
              <w:t xml:space="preserve">  </w:t>
            </w:r>
          </w:p>
        </w:tc>
      </w:tr>
    </w:tbl>
    <w:p w:rsidR="0023323E" w:rsidRPr="0023323E" w:rsidRDefault="0023323E" w:rsidP="0023323E">
      <w:pPr>
        <w:tabs>
          <w:tab w:val="left" w:pos="3495"/>
        </w:tabs>
        <w:spacing w:after="0" w:line="240" w:lineRule="auto"/>
        <w:ind w:left="284" w:hanging="284"/>
        <w:rPr>
          <w:rFonts w:ascii="Arial" w:hAnsi="Arial" w:cs="Arial"/>
          <w:sz w:val="24"/>
          <w:szCs w:val="24"/>
        </w:rPr>
      </w:pPr>
      <w:r w:rsidRPr="0023323E">
        <w:rPr>
          <w:rFonts w:ascii="Arial" w:hAnsi="Arial" w:cs="Arial"/>
          <w:sz w:val="24"/>
          <w:szCs w:val="24"/>
        </w:rPr>
        <w:t xml:space="preserve">         </w:t>
      </w:r>
    </w:p>
    <w:tbl>
      <w:tblPr>
        <w:tblStyle w:val="TableGrid"/>
        <w:tblW w:w="10632" w:type="dxa"/>
        <w:tblInd w:w="108" w:type="dxa"/>
        <w:tblLayout w:type="fixed"/>
        <w:tblLook w:val="04A0"/>
      </w:tblPr>
      <w:tblGrid>
        <w:gridCol w:w="956"/>
        <w:gridCol w:w="7975"/>
        <w:gridCol w:w="1701"/>
      </w:tblGrid>
      <w:tr w:rsidR="00BE3FA0" w:rsidTr="00537484">
        <w:tc>
          <w:tcPr>
            <w:tcW w:w="956" w:type="dxa"/>
            <w:shd w:val="clear" w:color="auto" w:fill="A6A6A6" w:themeFill="background1" w:themeFillShade="A6"/>
          </w:tcPr>
          <w:p w:rsidR="00BE3FA0" w:rsidRPr="00BE3FA0" w:rsidRDefault="00BE3FA0" w:rsidP="00C82FAA">
            <w:pPr>
              <w:tabs>
                <w:tab w:val="left" w:pos="3495"/>
              </w:tabs>
              <w:rPr>
                <w:rFonts w:ascii="Arial" w:hAnsi="Arial" w:cs="Arial"/>
                <w:b/>
                <w:sz w:val="20"/>
                <w:szCs w:val="20"/>
              </w:rPr>
            </w:pPr>
            <w:r w:rsidRPr="00BE3FA0">
              <w:rPr>
                <w:rFonts w:ascii="Arial" w:hAnsi="Arial" w:cs="Arial"/>
                <w:b/>
                <w:sz w:val="20"/>
                <w:szCs w:val="20"/>
              </w:rPr>
              <w:t>Item</w:t>
            </w:r>
          </w:p>
        </w:tc>
        <w:tc>
          <w:tcPr>
            <w:tcW w:w="7975" w:type="dxa"/>
            <w:shd w:val="clear" w:color="auto" w:fill="A6A6A6" w:themeFill="background1" w:themeFillShade="A6"/>
          </w:tcPr>
          <w:p w:rsidR="00BE3FA0" w:rsidRPr="00BE3FA0" w:rsidRDefault="00BE3FA0" w:rsidP="00C82FAA">
            <w:pPr>
              <w:tabs>
                <w:tab w:val="left" w:pos="3495"/>
              </w:tabs>
              <w:rPr>
                <w:rFonts w:ascii="Arial" w:hAnsi="Arial" w:cs="Arial"/>
                <w:b/>
                <w:sz w:val="20"/>
                <w:szCs w:val="20"/>
              </w:rPr>
            </w:pPr>
            <w:r w:rsidRPr="00BE3FA0">
              <w:rPr>
                <w:rFonts w:ascii="Arial" w:hAnsi="Arial" w:cs="Arial"/>
                <w:b/>
                <w:sz w:val="20"/>
                <w:szCs w:val="20"/>
              </w:rPr>
              <w:t>Agenda Item</w:t>
            </w:r>
          </w:p>
        </w:tc>
        <w:tc>
          <w:tcPr>
            <w:tcW w:w="1701" w:type="dxa"/>
            <w:shd w:val="clear" w:color="auto" w:fill="A6A6A6" w:themeFill="background1" w:themeFillShade="A6"/>
          </w:tcPr>
          <w:p w:rsidR="00BE3FA0" w:rsidRPr="00BE3FA0" w:rsidRDefault="00BE3FA0" w:rsidP="00C82FAA">
            <w:pPr>
              <w:tabs>
                <w:tab w:val="left" w:pos="3495"/>
              </w:tabs>
              <w:rPr>
                <w:rFonts w:ascii="Arial" w:hAnsi="Arial" w:cs="Arial"/>
                <w:b/>
                <w:sz w:val="20"/>
                <w:szCs w:val="20"/>
              </w:rPr>
            </w:pPr>
            <w:r w:rsidRPr="00BE3FA0">
              <w:rPr>
                <w:rFonts w:ascii="Arial" w:hAnsi="Arial" w:cs="Arial"/>
                <w:b/>
                <w:sz w:val="20"/>
                <w:szCs w:val="20"/>
              </w:rPr>
              <w:t>Responsibility</w:t>
            </w:r>
          </w:p>
        </w:tc>
      </w:tr>
      <w:tr w:rsidR="00BE3FA0" w:rsidTr="00537484">
        <w:tc>
          <w:tcPr>
            <w:tcW w:w="956" w:type="dxa"/>
          </w:tcPr>
          <w:p w:rsidR="00BE3FA0" w:rsidRDefault="002A5D94" w:rsidP="00C82FAA">
            <w:pPr>
              <w:tabs>
                <w:tab w:val="left" w:pos="3495"/>
              </w:tabs>
              <w:rPr>
                <w:rFonts w:ascii="Arial" w:hAnsi="Arial" w:cs="Arial"/>
                <w:b/>
                <w:sz w:val="24"/>
                <w:szCs w:val="24"/>
              </w:rPr>
            </w:pPr>
            <w:r>
              <w:rPr>
                <w:rFonts w:ascii="Arial" w:hAnsi="Arial" w:cs="Arial"/>
                <w:b/>
                <w:sz w:val="24"/>
                <w:szCs w:val="24"/>
              </w:rPr>
              <w:t>1</w:t>
            </w:r>
          </w:p>
        </w:tc>
        <w:tc>
          <w:tcPr>
            <w:tcW w:w="7975" w:type="dxa"/>
          </w:tcPr>
          <w:p w:rsidR="00BE3FA0" w:rsidRDefault="002A5D94" w:rsidP="00C82FAA">
            <w:pPr>
              <w:tabs>
                <w:tab w:val="left" w:pos="3495"/>
              </w:tabs>
              <w:rPr>
                <w:rFonts w:ascii="Arial" w:hAnsi="Arial" w:cs="Arial"/>
                <w:b/>
                <w:sz w:val="24"/>
                <w:szCs w:val="24"/>
              </w:rPr>
            </w:pPr>
            <w:r>
              <w:rPr>
                <w:rFonts w:ascii="Arial" w:hAnsi="Arial" w:cs="Arial"/>
                <w:b/>
                <w:sz w:val="24"/>
                <w:szCs w:val="24"/>
              </w:rPr>
              <w:t>SET Planning</w:t>
            </w:r>
            <w:r w:rsidRPr="002A5D94">
              <w:rPr>
                <w:rFonts w:ascii="Arial" w:hAnsi="Arial" w:cs="Arial"/>
                <w:sz w:val="24"/>
                <w:szCs w:val="24"/>
              </w:rPr>
              <w:t>. This item was moved to the next meeting of the group</w:t>
            </w:r>
          </w:p>
        </w:tc>
        <w:tc>
          <w:tcPr>
            <w:tcW w:w="1701" w:type="dxa"/>
          </w:tcPr>
          <w:p w:rsidR="00BE3FA0" w:rsidRDefault="002A5D94" w:rsidP="00C82FAA">
            <w:pPr>
              <w:tabs>
                <w:tab w:val="left" w:pos="3495"/>
              </w:tabs>
              <w:rPr>
                <w:rFonts w:ascii="Arial" w:hAnsi="Arial" w:cs="Arial"/>
                <w:b/>
                <w:sz w:val="24"/>
                <w:szCs w:val="24"/>
              </w:rPr>
            </w:pPr>
            <w:r>
              <w:rPr>
                <w:rFonts w:ascii="Arial" w:hAnsi="Arial" w:cs="Arial"/>
                <w:b/>
                <w:sz w:val="24"/>
                <w:szCs w:val="24"/>
              </w:rPr>
              <w:t>S Gregory</w:t>
            </w:r>
          </w:p>
        </w:tc>
      </w:tr>
      <w:tr w:rsidR="001A3378" w:rsidTr="00537484">
        <w:tc>
          <w:tcPr>
            <w:tcW w:w="8931" w:type="dxa"/>
            <w:gridSpan w:val="2"/>
          </w:tcPr>
          <w:p w:rsidR="001A3378" w:rsidRDefault="001A3378" w:rsidP="00C82FAA">
            <w:pPr>
              <w:tabs>
                <w:tab w:val="left" w:pos="3495"/>
              </w:tabs>
              <w:rPr>
                <w:rFonts w:ascii="Arial" w:hAnsi="Arial" w:cs="Arial"/>
                <w:b/>
                <w:sz w:val="24"/>
                <w:szCs w:val="24"/>
              </w:rPr>
            </w:pPr>
          </w:p>
        </w:tc>
        <w:tc>
          <w:tcPr>
            <w:tcW w:w="1701" w:type="dxa"/>
          </w:tcPr>
          <w:p w:rsidR="001A3378" w:rsidRDefault="001A3378" w:rsidP="00C82FAA">
            <w:pPr>
              <w:tabs>
                <w:tab w:val="left" w:pos="3495"/>
              </w:tabs>
              <w:rPr>
                <w:rFonts w:ascii="Arial" w:hAnsi="Arial" w:cs="Arial"/>
                <w:b/>
                <w:sz w:val="24"/>
                <w:szCs w:val="24"/>
              </w:rPr>
            </w:pPr>
          </w:p>
        </w:tc>
      </w:tr>
      <w:tr w:rsidR="00BE3FA0" w:rsidTr="00537484">
        <w:tc>
          <w:tcPr>
            <w:tcW w:w="956" w:type="dxa"/>
          </w:tcPr>
          <w:p w:rsidR="00BE3FA0" w:rsidRDefault="002A5D94" w:rsidP="00C82FAA">
            <w:pPr>
              <w:tabs>
                <w:tab w:val="left" w:pos="3495"/>
              </w:tabs>
              <w:rPr>
                <w:rFonts w:ascii="Arial" w:hAnsi="Arial" w:cs="Arial"/>
                <w:b/>
                <w:sz w:val="24"/>
                <w:szCs w:val="24"/>
              </w:rPr>
            </w:pPr>
            <w:r>
              <w:rPr>
                <w:rFonts w:ascii="Arial" w:hAnsi="Arial" w:cs="Arial"/>
                <w:b/>
                <w:sz w:val="24"/>
                <w:szCs w:val="24"/>
              </w:rPr>
              <w:t>2</w:t>
            </w:r>
          </w:p>
        </w:tc>
        <w:tc>
          <w:tcPr>
            <w:tcW w:w="7975" w:type="dxa"/>
          </w:tcPr>
          <w:p w:rsidR="00BE3FA0" w:rsidRDefault="002A5D94" w:rsidP="00C82FAA">
            <w:pPr>
              <w:tabs>
                <w:tab w:val="left" w:pos="3495"/>
              </w:tabs>
              <w:rPr>
                <w:rFonts w:ascii="Arial" w:hAnsi="Arial" w:cs="Arial"/>
                <w:b/>
                <w:sz w:val="24"/>
                <w:szCs w:val="24"/>
              </w:rPr>
            </w:pPr>
            <w:r>
              <w:rPr>
                <w:rFonts w:ascii="Arial" w:hAnsi="Arial" w:cs="Arial"/>
                <w:b/>
                <w:sz w:val="24"/>
                <w:szCs w:val="24"/>
              </w:rPr>
              <w:t>Caboolture Hub</w:t>
            </w:r>
          </w:p>
        </w:tc>
        <w:tc>
          <w:tcPr>
            <w:tcW w:w="1701" w:type="dxa"/>
          </w:tcPr>
          <w:p w:rsidR="00BE3FA0" w:rsidRDefault="002A5D94" w:rsidP="00C82FAA">
            <w:pPr>
              <w:tabs>
                <w:tab w:val="left" w:pos="3495"/>
              </w:tabs>
              <w:rPr>
                <w:rFonts w:ascii="Arial" w:hAnsi="Arial" w:cs="Arial"/>
                <w:b/>
                <w:sz w:val="24"/>
                <w:szCs w:val="24"/>
              </w:rPr>
            </w:pPr>
            <w:r>
              <w:rPr>
                <w:rFonts w:ascii="Arial" w:hAnsi="Arial" w:cs="Arial"/>
                <w:b/>
                <w:sz w:val="24"/>
                <w:szCs w:val="24"/>
              </w:rPr>
              <w:t>B Dickinson</w:t>
            </w:r>
          </w:p>
        </w:tc>
      </w:tr>
      <w:tr w:rsidR="001A3378" w:rsidTr="00537484">
        <w:tc>
          <w:tcPr>
            <w:tcW w:w="8931" w:type="dxa"/>
            <w:gridSpan w:val="2"/>
          </w:tcPr>
          <w:p w:rsidR="001A3378" w:rsidRDefault="002A5D94" w:rsidP="00C82FAA">
            <w:pPr>
              <w:tabs>
                <w:tab w:val="left" w:pos="3495"/>
              </w:tabs>
              <w:rPr>
                <w:rFonts w:ascii="Arial" w:hAnsi="Arial" w:cs="Arial"/>
                <w:b/>
                <w:sz w:val="20"/>
                <w:szCs w:val="20"/>
              </w:rPr>
            </w:pPr>
            <w:r>
              <w:rPr>
                <w:rFonts w:ascii="Arial" w:hAnsi="Arial" w:cs="Arial"/>
                <w:b/>
                <w:sz w:val="20"/>
                <w:szCs w:val="20"/>
              </w:rPr>
              <w:t xml:space="preserve">Bronwyn spoke to a power point presentation that outlined the function and structure of the new Caboolture </w:t>
            </w:r>
            <w:proofErr w:type="gramStart"/>
            <w:r>
              <w:rPr>
                <w:rFonts w:ascii="Arial" w:hAnsi="Arial" w:cs="Arial"/>
                <w:b/>
                <w:sz w:val="20"/>
                <w:szCs w:val="20"/>
              </w:rPr>
              <w:t>Hub,</w:t>
            </w:r>
            <w:proofErr w:type="gramEnd"/>
            <w:r>
              <w:rPr>
                <w:rFonts w:ascii="Arial" w:hAnsi="Arial" w:cs="Arial"/>
                <w:b/>
                <w:sz w:val="20"/>
                <w:szCs w:val="20"/>
              </w:rPr>
              <w:t xml:space="preserve"> and a QA was held. </w:t>
            </w:r>
            <w:r w:rsidRPr="002A5D94">
              <w:rPr>
                <w:rFonts w:ascii="Arial" w:hAnsi="Arial" w:cs="Arial"/>
                <w:b/>
                <w:sz w:val="20"/>
                <w:szCs w:val="20"/>
                <w:u w:val="single"/>
              </w:rPr>
              <w:t>Outcomes</w:t>
            </w:r>
            <w:r>
              <w:rPr>
                <w:rFonts w:ascii="Arial" w:hAnsi="Arial" w:cs="Arial"/>
                <w:b/>
                <w:sz w:val="20"/>
                <w:szCs w:val="20"/>
              </w:rPr>
              <w:t xml:space="preserve">: a) Matthew Neil promised sponsorship of a display of artwork from Senior students in the Moreton Region to be held at the Hub in the second semester 2012. The display will be real time and also digital. This will provide students with opportunities to have their work seen by the community and by prospective buyers or employers. B) QUT has a Creative Industries Skills Council (CISCQ) film unit running at the University and in 2012 will be available as </w:t>
            </w:r>
            <w:r w:rsidR="00E31B89">
              <w:rPr>
                <w:rFonts w:ascii="Arial" w:hAnsi="Arial" w:cs="Arial"/>
                <w:b/>
                <w:sz w:val="20"/>
                <w:szCs w:val="20"/>
              </w:rPr>
              <w:t>a pilot</w:t>
            </w:r>
            <w:r>
              <w:rPr>
                <w:rFonts w:ascii="Arial" w:hAnsi="Arial" w:cs="Arial"/>
                <w:b/>
                <w:sz w:val="20"/>
                <w:szCs w:val="20"/>
              </w:rPr>
              <w:t xml:space="preserve"> with St Columbans students and could be extended to include other schools who teach film across the region.</w:t>
            </w:r>
          </w:p>
          <w:p w:rsidR="002A5D94" w:rsidRPr="00BE3FA0" w:rsidRDefault="002A5D94" w:rsidP="00C82FAA">
            <w:pPr>
              <w:tabs>
                <w:tab w:val="left" w:pos="3495"/>
              </w:tabs>
              <w:rPr>
                <w:rFonts w:ascii="Arial" w:hAnsi="Arial" w:cs="Arial"/>
                <w:b/>
                <w:sz w:val="20"/>
                <w:szCs w:val="20"/>
              </w:rPr>
            </w:pPr>
            <w:r>
              <w:rPr>
                <w:rFonts w:ascii="Arial" w:hAnsi="Arial" w:cs="Arial"/>
                <w:b/>
                <w:sz w:val="20"/>
                <w:szCs w:val="20"/>
              </w:rPr>
              <w:t>A meeting will be set up between QUT and the Hub to iron out the details</w:t>
            </w:r>
            <w:r w:rsidR="00BA1B71">
              <w:rPr>
                <w:rFonts w:ascii="Arial" w:hAnsi="Arial" w:cs="Arial"/>
                <w:b/>
                <w:sz w:val="20"/>
                <w:szCs w:val="20"/>
              </w:rPr>
              <w:t>, and the outcome sent to schools</w:t>
            </w:r>
          </w:p>
        </w:tc>
        <w:tc>
          <w:tcPr>
            <w:tcW w:w="1701" w:type="dxa"/>
          </w:tcPr>
          <w:p w:rsidR="001A3378" w:rsidRDefault="001A3378" w:rsidP="00C82FAA">
            <w:pPr>
              <w:tabs>
                <w:tab w:val="left" w:pos="3495"/>
              </w:tabs>
              <w:rPr>
                <w:rFonts w:ascii="Arial" w:hAnsi="Arial" w:cs="Arial"/>
                <w:b/>
                <w:sz w:val="24"/>
                <w:szCs w:val="24"/>
              </w:rPr>
            </w:pPr>
          </w:p>
        </w:tc>
      </w:tr>
      <w:tr w:rsidR="00BE3FA0" w:rsidTr="00537484">
        <w:tc>
          <w:tcPr>
            <w:tcW w:w="956" w:type="dxa"/>
          </w:tcPr>
          <w:p w:rsidR="00BE3FA0" w:rsidRDefault="00BA1B71" w:rsidP="00C82FAA">
            <w:pPr>
              <w:tabs>
                <w:tab w:val="left" w:pos="3495"/>
              </w:tabs>
              <w:rPr>
                <w:rFonts w:ascii="Arial" w:hAnsi="Arial" w:cs="Arial"/>
                <w:b/>
                <w:sz w:val="24"/>
                <w:szCs w:val="24"/>
              </w:rPr>
            </w:pPr>
            <w:r>
              <w:rPr>
                <w:rFonts w:ascii="Arial" w:hAnsi="Arial" w:cs="Arial"/>
                <w:b/>
                <w:sz w:val="24"/>
                <w:szCs w:val="24"/>
              </w:rPr>
              <w:t>3</w:t>
            </w:r>
          </w:p>
        </w:tc>
        <w:tc>
          <w:tcPr>
            <w:tcW w:w="7975" w:type="dxa"/>
          </w:tcPr>
          <w:p w:rsidR="00BE3FA0" w:rsidRDefault="00BA1B71" w:rsidP="00C82FAA">
            <w:pPr>
              <w:tabs>
                <w:tab w:val="left" w:pos="3495"/>
              </w:tabs>
              <w:rPr>
                <w:rFonts w:ascii="Arial" w:hAnsi="Arial" w:cs="Arial"/>
                <w:b/>
                <w:sz w:val="24"/>
                <w:szCs w:val="24"/>
              </w:rPr>
            </w:pPr>
            <w:r>
              <w:rPr>
                <w:rFonts w:ascii="Arial" w:hAnsi="Arial" w:cs="Arial"/>
                <w:b/>
                <w:sz w:val="24"/>
                <w:szCs w:val="24"/>
              </w:rPr>
              <w:t>Whole of network meeting 23</w:t>
            </w:r>
            <w:r w:rsidRPr="00BA1B71">
              <w:rPr>
                <w:rFonts w:ascii="Arial" w:hAnsi="Arial" w:cs="Arial"/>
                <w:b/>
                <w:sz w:val="24"/>
                <w:szCs w:val="24"/>
                <w:vertAlign w:val="superscript"/>
              </w:rPr>
              <w:t>rd</w:t>
            </w:r>
            <w:r>
              <w:rPr>
                <w:rFonts w:ascii="Arial" w:hAnsi="Arial" w:cs="Arial"/>
                <w:b/>
                <w:sz w:val="24"/>
                <w:szCs w:val="24"/>
              </w:rPr>
              <w:t xml:space="preserve"> November</w:t>
            </w:r>
          </w:p>
        </w:tc>
        <w:tc>
          <w:tcPr>
            <w:tcW w:w="1701" w:type="dxa"/>
          </w:tcPr>
          <w:p w:rsidR="00BE3FA0" w:rsidRDefault="00BA1B71" w:rsidP="00C82FAA">
            <w:pPr>
              <w:tabs>
                <w:tab w:val="left" w:pos="3495"/>
              </w:tabs>
              <w:rPr>
                <w:rFonts w:ascii="Arial" w:hAnsi="Arial" w:cs="Arial"/>
                <w:b/>
                <w:sz w:val="24"/>
                <w:szCs w:val="24"/>
              </w:rPr>
            </w:pPr>
            <w:r>
              <w:rPr>
                <w:rFonts w:ascii="Arial" w:hAnsi="Arial" w:cs="Arial"/>
                <w:b/>
                <w:sz w:val="24"/>
                <w:szCs w:val="24"/>
              </w:rPr>
              <w:t>Tom McCue</w:t>
            </w:r>
          </w:p>
        </w:tc>
      </w:tr>
      <w:tr w:rsidR="00BA1B71" w:rsidTr="00BA1B71">
        <w:trPr>
          <w:trHeight w:val="1215"/>
        </w:trPr>
        <w:tc>
          <w:tcPr>
            <w:tcW w:w="8931" w:type="dxa"/>
            <w:gridSpan w:val="2"/>
            <w:tcBorders>
              <w:bottom w:val="single" w:sz="4" w:space="0" w:color="auto"/>
            </w:tcBorders>
          </w:tcPr>
          <w:p w:rsidR="00BA1B71" w:rsidRPr="00BA1B71" w:rsidRDefault="00BA1B71" w:rsidP="00C82FAA">
            <w:pPr>
              <w:tabs>
                <w:tab w:val="left" w:pos="3495"/>
              </w:tabs>
              <w:rPr>
                <w:rFonts w:ascii="Arial" w:hAnsi="Arial" w:cs="Arial"/>
                <w:sz w:val="24"/>
                <w:szCs w:val="24"/>
              </w:rPr>
            </w:pPr>
            <w:r w:rsidRPr="00BA1B71">
              <w:rPr>
                <w:rFonts w:ascii="Arial" w:hAnsi="Arial" w:cs="Arial"/>
                <w:b/>
                <w:sz w:val="20"/>
                <w:szCs w:val="20"/>
              </w:rPr>
              <w:t xml:space="preserve">Tom discussed the concept of the network meeting at Mueller College in November and encouraged all schools to attend. Busy at Work are the sponsors and all of the important industry and business reps will be available for advice and assistance re courses, SATs and other voc </w:t>
            </w:r>
            <w:proofErr w:type="spellStart"/>
            <w:r w:rsidRPr="00BA1B71">
              <w:rPr>
                <w:rFonts w:ascii="Arial" w:hAnsi="Arial" w:cs="Arial"/>
                <w:b/>
                <w:sz w:val="20"/>
                <w:szCs w:val="20"/>
              </w:rPr>
              <w:t>ed</w:t>
            </w:r>
            <w:proofErr w:type="spellEnd"/>
            <w:r w:rsidRPr="00BA1B71">
              <w:rPr>
                <w:rFonts w:ascii="Arial" w:hAnsi="Arial" w:cs="Arial"/>
                <w:b/>
                <w:sz w:val="20"/>
                <w:szCs w:val="20"/>
              </w:rPr>
              <w:t xml:space="preserve"> issues</w:t>
            </w:r>
            <w:r w:rsidRPr="00BA1B71">
              <w:rPr>
                <w:rFonts w:ascii="Arial" w:hAnsi="Arial" w:cs="Arial"/>
                <w:sz w:val="24"/>
                <w:szCs w:val="24"/>
              </w:rPr>
              <w:t>.</w:t>
            </w:r>
          </w:p>
        </w:tc>
        <w:tc>
          <w:tcPr>
            <w:tcW w:w="1701" w:type="dxa"/>
            <w:vMerge w:val="restart"/>
          </w:tcPr>
          <w:p w:rsidR="00BA1B71" w:rsidRDefault="00BA1B71" w:rsidP="00C82FAA">
            <w:pPr>
              <w:tabs>
                <w:tab w:val="left" w:pos="3495"/>
              </w:tabs>
              <w:rPr>
                <w:rFonts w:ascii="Arial" w:hAnsi="Arial" w:cs="Arial"/>
                <w:b/>
                <w:sz w:val="24"/>
                <w:szCs w:val="24"/>
              </w:rPr>
            </w:pPr>
          </w:p>
        </w:tc>
      </w:tr>
      <w:tr w:rsidR="00BA1B71" w:rsidTr="00BA1B71">
        <w:trPr>
          <w:trHeight w:val="300"/>
        </w:trPr>
        <w:tc>
          <w:tcPr>
            <w:tcW w:w="8931" w:type="dxa"/>
            <w:gridSpan w:val="2"/>
            <w:tcBorders>
              <w:top w:val="single" w:sz="4" w:space="0" w:color="auto"/>
              <w:bottom w:val="single" w:sz="4" w:space="0" w:color="auto"/>
            </w:tcBorders>
          </w:tcPr>
          <w:p w:rsidR="00BA1B71" w:rsidRDefault="00BA1B71" w:rsidP="00C82FAA">
            <w:pPr>
              <w:tabs>
                <w:tab w:val="left" w:pos="3495"/>
              </w:tabs>
              <w:rPr>
                <w:rFonts w:ascii="Arial" w:hAnsi="Arial" w:cs="Arial"/>
                <w:b/>
                <w:sz w:val="20"/>
                <w:szCs w:val="20"/>
              </w:rPr>
            </w:pPr>
            <w:r>
              <w:rPr>
                <w:rFonts w:ascii="Arial" w:hAnsi="Arial" w:cs="Arial"/>
                <w:b/>
                <w:sz w:val="20"/>
                <w:szCs w:val="20"/>
              </w:rPr>
              <w:t>4.  Next meeting date and time.</w:t>
            </w:r>
          </w:p>
          <w:p w:rsidR="00BA1B71" w:rsidRDefault="00BA1B71" w:rsidP="00C82FAA">
            <w:pPr>
              <w:tabs>
                <w:tab w:val="left" w:pos="3495"/>
              </w:tabs>
              <w:rPr>
                <w:rFonts w:ascii="Arial" w:hAnsi="Arial" w:cs="Arial"/>
                <w:b/>
                <w:sz w:val="20"/>
                <w:szCs w:val="20"/>
              </w:rPr>
            </w:pPr>
            <w:r>
              <w:rPr>
                <w:rFonts w:ascii="Arial" w:hAnsi="Arial" w:cs="Arial"/>
                <w:b/>
                <w:sz w:val="20"/>
                <w:szCs w:val="20"/>
              </w:rPr>
              <w:t xml:space="preserve"> Kate Ruddy will be stepping </w:t>
            </w:r>
            <w:r w:rsidR="00B11EE4">
              <w:rPr>
                <w:rFonts w:ascii="Arial" w:hAnsi="Arial" w:cs="Arial"/>
                <w:b/>
                <w:sz w:val="20"/>
                <w:szCs w:val="20"/>
              </w:rPr>
              <w:t>down as</w:t>
            </w:r>
            <w:r w:rsidR="00BC0471">
              <w:rPr>
                <w:rFonts w:ascii="Arial" w:hAnsi="Arial" w:cs="Arial"/>
                <w:b/>
                <w:sz w:val="20"/>
                <w:szCs w:val="20"/>
              </w:rPr>
              <w:t xml:space="preserve"> chair of the SPN Sub Group A at the end of this </w:t>
            </w:r>
            <w:proofErr w:type="gramStart"/>
            <w:r w:rsidR="00BC0471">
              <w:rPr>
                <w:rFonts w:ascii="Arial" w:hAnsi="Arial" w:cs="Arial"/>
                <w:b/>
                <w:sz w:val="20"/>
                <w:szCs w:val="20"/>
              </w:rPr>
              <w:t>year  and</w:t>
            </w:r>
            <w:proofErr w:type="gramEnd"/>
            <w:r w:rsidR="00BC0471">
              <w:rPr>
                <w:rFonts w:ascii="Arial" w:hAnsi="Arial" w:cs="Arial"/>
                <w:b/>
                <w:sz w:val="20"/>
                <w:szCs w:val="20"/>
              </w:rPr>
              <w:t xml:space="preserve"> Sherryl Gregory has volunteered to take her place. I will put this to the membership at our first meeting in 2012 and be guided by the response.</w:t>
            </w:r>
          </w:p>
          <w:p w:rsidR="00BC0471" w:rsidRDefault="00BC0471" w:rsidP="00C82FAA">
            <w:pPr>
              <w:tabs>
                <w:tab w:val="left" w:pos="3495"/>
              </w:tabs>
              <w:rPr>
                <w:rFonts w:ascii="Arial" w:hAnsi="Arial" w:cs="Arial"/>
                <w:b/>
                <w:sz w:val="20"/>
                <w:szCs w:val="20"/>
              </w:rPr>
            </w:pPr>
            <w:r>
              <w:rPr>
                <w:rFonts w:ascii="Arial" w:hAnsi="Arial" w:cs="Arial"/>
                <w:b/>
                <w:sz w:val="20"/>
                <w:szCs w:val="20"/>
              </w:rPr>
              <w:t xml:space="preserve">In the meantime, we thank Kate sincerely for all of her hard </w:t>
            </w:r>
            <w:r w:rsidR="00B11EE4">
              <w:rPr>
                <w:rFonts w:ascii="Arial" w:hAnsi="Arial" w:cs="Arial"/>
                <w:b/>
                <w:sz w:val="20"/>
                <w:szCs w:val="20"/>
              </w:rPr>
              <w:t>work</w:t>
            </w:r>
            <w:r>
              <w:rPr>
                <w:rFonts w:ascii="Arial" w:hAnsi="Arial" w:cs="Arial"/>
                <w:b/>
                <w:sz w:val="20"/>
                <w:szCs w:val="20"/>
              </w:rPr>
              <w:t xml:space="preserve"> on behalf of the network and we look forward to her returning to her position in the near future.</w:t>
            </w:r>
          </w:p>
          <w:p w:rsidR="00B11EE4" w:rsidRDefault="00B11EE4" w:rsidP="00C82FAA">
            <w:pPr>
              <w:tabs>
                <w:tab w:val="left" w:pos="3495"/>
              </w:tabs>
              <w:rPr>
                <w:rFonts w:ascii="Arial" w:hAnsi="Arial" w:cs="Arial"/>
                <w:b/>
                <w:sz w:val="20"/>
                <w:szCs w:val="20"/>
              </w:rPr>
            </w:pPr>
          </w:p>
          <w:p w:rsidR="00BC0471" w:rsidRPr="00BA1B71" w:rsidRDefault="00BC0471" w:rsidP="00C82FAA">
            <w:pPr>
              <w:tabs>
                <w:tab w:val="left" w:pos="3495"/>
              </w:tabs>
              <w:rPr>
                <w:rFonts w:ascii="Arial" w:hAnsi="Arial" w:cs="Arial"/>
                <w:b/>
                <w:sz w:val="20"/>
                <w:szCs w:val="20"/>
              </w:rPr>
            </w:pPr>
            <w:r>
              <w:rPr>
                <w:rFonts w:ascii="Arial" w:hAnsi="Arial" w:cs="Arial"/>
                <w:b/>
                <w:sz w:val="20"/>
                <w:szCs w:val="20"/>
              </w:rPr>
              <w:t>The 2012 whole senior phase network meeting will be held at the Hub in Caboolture, and all secondary school senior phase staff in the region will receive an invitation to attend. It will be held during the first week in March and will include a tour of the Hub facility with management and the announcement of the student artwork display by QUT will be made by Matthew Neil at that time as well. The manager will address the network and will be looking to partner with schools and clusters of schools to improve outcomes for the youth of the Moreton region.</w:t>
            </w:r>
          </w:p>
        </w:tc>
        <w:tc>
          <w:tcPr>
            <w:tcW w:w="1701" w:type="dxa"/>
            <w:vMerge/>
          </w:tcPr>
          <w:p w:rsidR="00BA1B71" w:rsidRDefault="00BA1B71" w:rsidP="00C82FAA">
            <w:pPr>
              <w:tabs>
                <w:tab w:val="left" w:pos="3495"/>
              </w:tabs>
              <w:rPr>
                <w:rFonts w:ascii="Arial" w:hAnsi="Arial" w:cs="Arial"/>
                <w:b/>
                <w:sz w:val="24"/>
                <w:szCs w:val="24"/>
              </w:rPr>
            </w:pPr>
          </w:p>
        </w:tc>
      </w:tr>
      <w:tr w:rsidR="00BA1B71" w:rsidTr="00BA1B71">
        <w:trPr>
          <w:trHeight w:val="765"/>
        </w:trPr>
        <w:tc>
          <w:tcPr>
            <w:tcW w:w="8931" w:type="dxa"/>
            <w:gridSpan w:val="2"/>
            <w:tcBorders>
              <w:top w:val="single" w:sz="4" w:space="0" w:color="auto"/>
            </w:tcBorders>
          </w:tcPr>
          <w:p w:rsidR="00BA1B71" w:rsidRPr="00BA1B71" w:rsidRDefault="00BC0471" w:rsidP="00C82FAA">
            <w:pPr>
              <w:tabs>
                <w:tab w:val="left" w:pos="3495"/>
              </w:tabs>
              <w:rPr>
                <w:rFonts w:ascii="Arial" w:hAnsi="Arial" w:cs="Arial"/>
                <w:b/>
                <w:sz w:val="20"/>
                <w:szCs w:val="20"/>
              </w:rPr>
            </w:pPr>
            <w:r>
              <w:rPr>
                <w:rFonts w:ascii="Arial" w:hAnsi="Arial" w:cs="Arial"/>
                <w:b/>
                <w:sz w:val="20"/>
                <w:szCs w:val="20"/>
              </w:rPr>
              <w:t>Meeting closed 4.45pm</w:t>
            </w:r>
          </w:p>
        </w:tc>
        <w:tc>
          <w:tcPr>
            <w:tcW w:w="1701" w:type="dxa"/>
            <w:vMerge/>
          </w:tcPr>
          <w:p w:rsidR="00BA1B71" w:rsidRDefault="00BA1B71" w:rsidP="00C82FAA">
            <w:pPr>
              <w:tabs>
                <w:tab w:val="left" w:pos="3495"/>
              </w:tabs>
              <w:rPr>
                <w:rFonts w:ascii="Arial" w:hAnsi="Arial" w:cs="Arial"/>
                <w:b/>
                <w:sz w:val="24"/>
                <w:szCs w:val="24"/>
              </w:rPr>
            </w:pPr>
          </w:p>
        </w:tc>
      </w:tr>
    </w:tbl>
    <w:p w:rsidR="00354A83" w:rsidRDefault="00354A83" w:rsidP="00C82FAA">
      <w:pPr>
        <w:tabs>
          <w:tab w:val="left" w:pos="3495"/>
        </w:tabs>
        <w:spacing w:after="0" w:line="240" w:lineRule="auto"/>
        <w:ind w:left="284" w:firstLine="283"/>
        <w:rPr>
          <w:rFonts w:ascii="Arial" w:hAnsi="Arial" w:cs="Arial"/>
          <w:b/>
          <w:sz w:val="24"/>
          <w:szCs w:val="24"/>
        </w:rPr>
      </w:pPr>
    </w:p>
    <w:p w:rsidR="00354A83" w:rsidRDefault="00354A83" w:rsidP="00C82FAA">
      <w:pPr>
        <w:tabs>
          <w:tab w:val="left" w:pos="3495"/>
        </w:tabs>
        <w:spacing w:after="0" w:line="240" w:lineRule="auto"/>
        <w:ind w:left="284" w:firstLine="283"/>
        <w:rPr>
          <w:rFonts w:ascii="Arial" w:hAnsi="Arial" w:cs="Arial"/>
          <w:b/>
          <w:sz w:val="24"/>
          <w:szCs w:val="24"/>
        </w:rPr>
      </w:pPr>
    </w:p>
    <w:p w:rsidR="00354A83" w:rsidRDefault="00354A83" w:rsidP="00C82FAA">
      <w:pPr>
        <w:tabs>
          <w:tab w:val="left" w:pos="3495"/>
        </w:tabs>
        <w:spacing w:after="0" w:line="240" w:lineRule="auto"/>
        <w:ind w:left="284" w:firstLine="283"/>
        <w:rPr>
          <w:rFonts w:ascii="Arial" w:hAnsi="Arial" w:cs="Arial"/>
          <w:b/>
          <w:sz w:val="24"/>
          <w:szCs w:val="24"/>
        </w:rPr>
      </w:pPr>
    </w:p>
    <w:p w:rsidR="00354A83" w:rsidRDefault="00354A83" w:rsidP="00C82FAA">
      <w:pPr>
        <w:tabs>
          <w:tab w:val="left" w:pos="3495"/>
        </w:tabs>
        <w:spacing w:after="0" w:line="240" w:lineRule="auto"/>
        <w:ind w:left="284" w:firstLine="283"/>
        <w:rPr>
          <w:rFonts w:ascii="Arial" w:hAnsi="Arial" w:cs="Arial"/>
          <w:b/>
          <w:sz w:val="24"/>
          <w:szCs w:val="24"/>
        </w:rPr>
      </w:pPr>
    </w:p>
    <w:p w:rsidR="00354A83" w:rsidRDefault="00354A83" w:rsidP="00537484">
      <w:pPr>
        <w:tabs>
          <w:tab w:val="left" w:pos="0"/>
        </w:tabs>
        <w:spacing w:after="0" w:line="240" w:lineRule="auto"/>
        <w:ind w:left="284" w:firstLine="283"/>
        <w:rPr>
          <w:rFonts w:ascii="Arial" w:hAnsi="Arial" w:cs="Arial"/>
          <w:b/>
          <w:sz w:val="24"/>
          <w:szCs w:val="24"/>
        </w:rPr>
      </w:pPr>
    </w:p>
    <w:p w:rsidR="00354A83" w:rsidRDefault="00354A83" w:rsidP="00C82FAA">
      <w:pPr>
        <w:tabs>
          <w:tab w:val="left" w:pos="3495"/>
        </w:tabs>
        <w:spacing w:after="0" w:line="240" w:lineRule="auto"/>
        <w:ind w:left="284" w:firstLine="283"/>
        <w:rPr>
          <w:rFonts w:ascii="Arial" w:hAnsi="Arial" w:cs="Arial"/>
          <w:b/>
          <w:sz w:val="24"/>
          <w:szCs w:val="24"/>
        </w:rPr>
      </w:pPr>
    </w:p>
    <w:p w:rsidR="00354A83" w:rsidRDefault="00354A83" w:rsidP="00C82FAA">
      <w:pPr>
        <w:tabs>
          <w:tab w:val="left" w:pos="3495"/>
        </w:tabs>
        <w:spacing w:after="0" w:line="240" w:lineRule="auto"/>
        <w:ind w:left="284" w:firstLine="283"/>
        <w:rPr>
          <w:rFonts w:ascii="Arial" w:hAnsi="Arial" w:cs="Arial"/>
          <w:b/>
          <w:sz w:val="24"/>
          <w:szCs w:val="24"/>
        </w:rPr>
      </w:pPr>
    </w:p>
    <w:p w:rsidR="00354A83" w:rsidRDefault="00354A83" w:rsidP="00C82FAA">
      <w:pPr>
        <w:tabs>
          <w:tab w:val="left" w:pos="3495"/>
        </w:tabs>
        <w:spacing w:after="0" w:line="240" w:lineRule="auto"/>
        <w:ind w:left="284" w:firstLine="283"/>
        <w:rPr>
          <w:rFonts w:ascii="Arial" w:hAnsi="Arial" w:cs="Arial"/>
          <w:b/>
          <w:sz w:val="24"/>
          <w:szCs w:val="24"/>
        </w:rPr>
      </w:pPr>
    </w:p>
    <w:p w:rsidR="00354A83" w:rsidRDefault="00354A83" w:rsidP="00C82FAA">
      <w:pPr>
        <w:tabs>
          <w:tab w:val="left" w:pos="3495"/>
        </w:tabs>
        <w:spacing w:after="0" w:line="240" w:lineRule="auto"/>
        <w:ind w:left="284" w:firstLine="283"/>
        <w:rPr>
          <w:rFonts w:ascii="Arial" w:hAnsi="Arial" w:cs="Arial"/>
          <w:b/>
          <w:sz w:val="24"/>
          <w:szCs w:val="24"/>
        </w:rPr>
      </w:pPr>
    </w:p>
    <w:p w:rsidR="00354A83" w:rsidRDefault="00354A83" w:rsidP="00C82FAA">
      <w:pPr>
        <w:tabs>
          <w:tab w:val="left" w:pos="3495"/>
        </w:tabs>
        <w:spacing w:after="0" w:line="240" w:lineRule="auto"/>
        <w:ind w:left="284" w:firstLine="283"/>
        <w:rPr>
          <w:rFonts w:ascii="Arial" w:hAnsi="Arial" w:cs="Arial"/>
          <w:b/>
          <w:sz w:val="24"/>
          <w:szCs w:val="24"/>
        </w:rPr>
      </w:pPr>
    </w:p>
    <w:p w:rsidR="00354A83" w:rsidRDefault="00354A83" w:rsidP="00C82FAA">
      <w:pPr>
        <w:tabs>
          <w:tab w:val="left" w:pos="3495"/>
        </w:tabs>
        <w:spacing w:after="0" w:line="240" w:lineRule="auto"/>
        <w:ind w:left="284" w:firstLine="283"/>
        <w:rPr>
          <w:rFonts w:ascii="Arial" w:hAnsi="Arial" w:cs="Arial"/>
          <w:b/>
          <w:sz w:val="24"/>
          <w:szCs w:val="24"/>
        </w:rPr>
      </w:pPr>
    </w:p>
    <w:p w:rsidR="00354A83" w:rsidRDefault="00354A83" w:rsidP="00C82FAA">
      <w:pPr>
        <w:tabs>
          <w:tab w:val="left" w:pos="3495"/>
        </w:tabs>
        <w:spacing w:after="0" w:line="240" w:lineRule="auto"/>
        <w:ind w:left="284" w:firstLine="283"/>
        <w:rPr>
          <w:rFonts w:ascii="Arial" w:hAnsi="Arial" w:cs="Arial"/>
          <w:b/>
          <w:sz w:val="24"/>
          <w:szCs w:val="24"/>
        </w:rPr>
      </w:pPr>
    </w:p>
    <w:p w:rsidR="00354A83" w:rsidRDefault="00354A83" w:rsidP="00C82FAA">
      <w:pPr>
        <w:tabs>
          <w:tab w:val="left" w:pos="3495"/>
        </w:tabs>
        <w:spacing w:after="0" w:line="240" w:lineRule="auto"/>
        <w:ind w:left="284" w:firstLine="283"/>
        <w:rPr>
          <w:rFonts w:ascii="Arial" w:hAnsi="Arial" w:cs="Arial"/>
          <w:b/>
          <w:sz w:val="24"/>
          <w:szCs w:val="24"/>
        </w:rPr>
      </w:pPr>
    </w:p>
    <w:p w:rsidR="00354A83" w:rsidRDefault="00354A83" w:rsidP="00C82FAA">
      <w:pPr>
        <w:tabs>
          <w:tab w:val="left" w:pos="3495"/>
        </w:tabs>
        <w:spacing w:after="0" w:line="240" w:lineRule="auto"/>
        <w:ind w:left="284" w:firstLine="283"/>
        <w:rPr>
          <w:rFonts w:ascii="Arial" w:hAnsi="Arial" w:cs="Arial"/>
          <w:b/>
          <w:sz w:val="24"/>
          <w:szCs w:val="24"/>
        </w:rPr>
      </w:pPr>
    </w:p>
    <w:p w:rsidR="00354A83" w:rsidRDefault="00354A83" w:rsidP="00C82FAA">
      <w:pPr>
        <w:tabs>
          <w:tab w:val="left" w:pos="3495"/>
        </w:tabs>
        <w:spacing w:after="0" w:line="240" w:lineRule="auto"/>
        <w:ind w:left="284" w:firstLine="283"/>
        <w:rPr>
          <w:rFonts w:ascii="Arial" w:hAnsi="Arial" w:cs="Arial"/>
          <w:b/>
          <w:sz w:val="24"/>
          <w:szCs w:val="24"/>
        </w:rPr>
      </w:pPr>
    </w:p>
    <w:p w:rsidR="00354A83" w:rsidRDefault="00354A83" w:rsidP="00C82FAA">
      <w:pPr>
        <w:tabs>
          <w:tab w:val="left" w:pos="3495"/>
        </w:tabs>
        <w:spacing w:after="0" w:line="240" w:lineRule="auto"/>
        <w:ind w:left="284" w:firstLine="283"/>
        <w:rPr>
          <w:rFonts w:ascii="Arial" w:hAnsi="Arial" w:cs="Arial"/>
          <w:b/>
          <w:sz w:val="24"/>
          <w:szCs w:val="24"/>
        </w:rPr>
      </w:pPr>
    </w:p>
    <w:p w:rsidR="00354A83" w:rsidRDefault="00354A83" w:rsidP="00C82FAA">
      <w:pPr>
        <w:tabs>
          <w:tab w:val="left" w:pos="3495"/>
        </w:tabs>
        <w:spacing w:after="0" w:line="240" w:lineRule="auto"/>
        <w:ind w:left="284" w:firstLine="283"/>
        <w:rPr>
          <w:rFonts w:ascii="Arial" w:hAnsi="Arial" w:cs="Arial"/>
          <w:b/>
          <w:sz w:val="24"/>
          <w:szCs w:val="24"/>
        </w:rPr>
      </w:pPr>
    </w:p>
    <w:p w:rsidR="00354A83" w:rsidRDefault="00354A83" w:rsidP="00C82FAA">
      <w:pPr>
        <w:tabs>
          <w:tab w:val="left" w:pos="3495"/>
        </w:tabs>
        <w:spacing w:after="0" w:line="240" w:lineRule="auto"/>
        <w:ind w:left="284" w:firstLine="283"/>
        <w:rPr>
          <w:rFonts w:ascii="Arial" w:hAnsi="Arial" w:cs="Arial"/>
          <w:b/>
          <w:sz w:val="24"/>
          <w:szCs w:val="24"/>
        </w:rPr>
      </w:pPr>
    </w:p>
    <w:p w:rsidR="00354A83" w:rsidRDefault="00354A83" w:rsidP="00C82FAA">
      <w:pPr>
        <w:tabs>
          <w:tab w:val="left" w:pos="3495"/>
        </w:tabs>
        <w:spacing w:after="0" w:line="240" w:lineRule="auto"/>
        <w:ind w:left="284" w:firstLine="283"/>
        <w:rPr>
          <w:rFonts w:ascii="Arial" w:hAnsi="Arial" w:cs="Arial"/>
          <w:b/>
          <w:sz w:val="24"/>
          <w:szCs w:val="24"/>
        </w:rPr>
      </w:pPr>
    </w:p>
    <w:p w:rsidR="00354A83" w:rsidRDefault="00354A83" w:rsidP="00C82FAA">
      <w:pPr>
        <w:tabs>
          <w:tab w:val="left" w:pos="3495"/>
        </w:tabs>
        <w:spacing w:after="0" w:line="240" w:lineRule="auto"/>
        <w:ind w:left="284" w:firstLine="283"/>
        <w:rPr>
          <w:rFonts w:ascii="Arial" w:hAnsi="Arial" w:cs="Arial"/>
          <w:b/>
          <w:sz w:val="24"/>
          <w:szCs w:val="24"/>
        </w:rPr>
      </w:pPr>
    </w:p>
    <w:p w:rsidR="00354A83" w:rsidRDefault="00354A83" w:rsidP="00C82FAA">
      <w:pPr>
        <w:tabs>
          <w:tab w:val="left" w:pos="3495"/>
        </w:tabs>
        <w:spacing w:after="0" w:line="240" w:lineRule="auto"/>
        <w:ind w:left="284" w:firstLine="283"/>
        <w:rPr>
          <w:rFonts w:ascii="Arial" w:hAnsi="Arial" w:cs="Arial"/>
          <w:b/>
          <w:sz w:val="24"/>
          <w:szCs w:val="24"/>
        </w:rPr>
      </w:pPr>
    </w:p>
    <w:p w:rsidR="00354A83" w:rsidRDefault="00354A83" w:rsidP="00C82FAA">
      <w:pPr>
        <w:tabs>
          <w:tab w:val="left" w:pos="3495"/>
        </w:tabs>
        <w:spacing w:after="0" w:line="240" w:lineRule="auto"/>
        <w:ind w:left="284" w:firstLine="283"/>
        <w:rPr>
          <w:rFonts w:ascii="Arial" w:hAnsi="Arial" w:cs="Arial"/>
          <w:b/>
          <w:sz w:val="24"/>
          <w:szCs w:val="24"/>
        </w:rPr>
      </w:pPr>
    </w:p>
    <w:p w:rsidR="00354A83" w:rsidRDefault="00354A83" w:rsidP="00C82FAA">
      <w:pPr>
        <w:tabs>
          <w:tab w:val="left" w:pos="3495"/>
        </w:tabs>
        <w:spacing w:after="0" w:line="240" w:lineRule="auto"/>
        <w:ind w:left="284" w:firstLine="283"/>
        <w:rPr>
          <w:rFonts w:ascii="Arial" w:hAnsi="Arial" w:cs="Arial"/>
          <w:b/>
          <w:sz w:val="24"/>
          <w:szCs w:val="24"/>
        </w:rPr>
      </w:pPr>
    </w:p>
    <w:p w:rsidR="00354A83" w:rsidRDefault="00354A83" w:rsidP="00C82FAA">
      <w:pPr>
        <w:tabs>
          <w:tab w:val="left" w:pos="3495"/>
        </w:tabs>
        <w:spacing w:after="0" w:line="240" w:lineRule="auto"/>
        <w:ind w:left="284" w:firstLine="283"/>
        <w:rPr>
          <w:rFonts w:ascii="Arial" w:hAnsi="Arial" w:cs="Arial"/>
          <w:b/>
          <w:sz w:val="24"/>
          <w:szCs w:val="24"/>
        </w:rPr>
      </w:pPr>
    </w:p>
    <w:p w:rsidR="00354A83" w:rsidRDefault="00354A83" w:rsidP="00C82FAA">
      <w:pPr>
        <w:tabs>
          <w:tab w:val="left" w:pos="3495"/>
        </w:tabs>
        <w:spacing w:after="0" w:line="240" w:lineRule="auto"/>
        <w:ind w:left="284" w:firstLine="283"/>
        <w:rPr>
          <w:rFonts w:ascii="Arial" w:hAnsi="Arial" w:cs="Arial"/>
          <w:b/>
          <w:sz w:val="24"/>
          <w:szCs w:val="24"/>
        </w:rPr>
      </w:pPr>
    </w:p>
    <w:p w:rsidR="00354A83" w:rsidRPr="0023323E" w:rsidRDefault="00354A83" w:rsidP="00C82FAA">
      <w:pPr>
        <w:tabs>
          <w:tab w:val="left" w:pos="3495"/>
        </w:tabs>
        <w:spacing w:after="0" w:line="240" w:lineRule="auto"/>
        <w:ind w:left="284" w:firstLine="283"/>
        <w:rPr>
          <w:rFonts w:ascii="Arial" w:hAnsi="Arial" w:cs="Arial"/>
          <w:b/>
          <w:sz w:val="24"/>
          <w:szCs w:val="24"/>
        </w:rPr>
      </w:pPr>
    </w:p>
    <w:sectPr w:rsidR="00354A83" w:rsidRPr="0023323E" w:rsidSect="00537484">
      <w:headerReference w:type="default" r:id="rId6"/>
      <w:footerReference w:type="default" r:id="rId7"/>
      <w:headerReference w:type="first" r:id="rId8"/>
      <w:footerReference w:type="first" r:id="rId9"/>
      <w:pgSz w:w="11906" w:h="16838"/>
      <w:pgMar w:top="1392" w:right="567" w:bottom="1440" w:left="709" w:header="624"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30A" w:rsidRDefault="0035730A" w:rsidP="00C82FAA">
      <w:pPr>
        <w:spacing w:after="0" w:line="240" w:lineRule="auto"/>
      </w:pPr>
      <w:r>
        <w:separator/>
      </w:r>
    </w:p>
  </w:endnote>
  <w:endnote w:type="continuationSeparator" w:id="0">
    <w:p w:rsidR="0035730A" w:rsidRDefault="0035730A" w:rsidP="00C82F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pPr w:leftFromText="180" w:rightFromText="180" w:vertAnchor="text" w:horzAnchor="margin" w:tblpXSpec="center" w:tblpY="73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9"/>
      <w:gridCol w:w="5129"/>
    </w:tblGrid>
    <w:tr w:rsidR="00354A83" w:rsidTr="00702468">
      <w:tc>
        <w:tcPr>
          <w:tcW w:w="5219" w:type="dxa"/>
        </w:tcPr>
        <w:p w:rsidR="00354A83" w:rsidRDefault="00354A83" w:rsidP="00702468">
          <w:pPr>
            <w:jc w:val="center"/>
            <w:rPr>
              <w:color w:val="17365D"/>
              <w:sz w:val="18"/>
              <w:szCs w:val="18"/>
            </w:rPr>
          </w:pPr>
        </w:p>
      </w:tc>
      <w:tc>
        <w:tcPr>
          <w:tcW w:w="5129" w:type="dxa"/>
        </w:tcPr>
        <w:p w:rsidR="00354A83" w:rsidRDefault="00354A83" w:rsidP="00702468">
          <w:pPr>
            <w:jc w:val="center"/>
            <w:rPr>
              <w:color w:val="17365D"/>
              <w:sz w:val="18"/>
              <w:szCs w:val="18"/>
            </w:rPr>
          </w:pPr>
        </w:p>
      </w:tc>
    </w:tr>
  </w:tbl>
  <w:p w:rsidR="00354A83" w:rsidRDefault="00354A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pPr w:leftFromText="180" w:rightFromText="180" w:vertAnchor="text" w:horzAnchor="margin" w:tblpXSpec="center" w:tblpY="73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9"/>
      <w:gridCol w:w="5129"/>
    </w:tblGrid>
    <w:tr w:rsidR="00B01540" w:rsidTr="00A2650D">
      <w:tc>
        <w:tcPr>
          <w:tcW w:w="5219" w:type="dxa"/>
        </w:tcPr>
        <w:p w:rsidR="00B01540" w:rsidRDefault="00B01540" w:rsidP="00A2650D">
          <w:pPr>
            <w:jc w:val="center"/>
            <w:rPr>
              <w:color w:val="17365D"/>
              <w:sz w:val="18"/>
              <w:szCs w:val="18"/>
            </w:rPr>
          </w:pPr>
          <w:r>
            <w:rPr>
              <w:color w:val="17365D"/>
              <w:sz w:val="18"/>
              <w:szCs w:val="18"/>
            </w:rPr>
            <w:t>Moreton Bay Region Office</w:t>
          </w:r>
        </w:p>
        <w:p w:rsidR="00B01540" w:rsidRDefault="00B01540" w:rsidP="00A2650D">
          <w:pPr>
            <w:jc w:val="center"/>
            <w:rPr>
              <w:rFonts w:eastAsiaTheme="minorEastAsia"/>
              <w:noProof/>
              <w:color w:val="17365D"/>
              <w:sz w:val="18"/>
              <w:szCs w:val="18"/>
              <w:lang w:val="en-US" w:eastAsia="en-AU"/>
            </w:rPr>
          </w:pPr>
          <w:r w:rsidRPr="00D24BD2">
            <w:rPr>
              <w:rFonts w:eastAsiaTheme="minorEastAsia"/>
              <w:noProof/>
              <w:color w:val="17365D"/>
              <w:sz w:val="18"/>
              <w:szCs w:val="18"/>
              <w:lang w:val="en-US" w:eastAsia="en-AU"/>
            </w:rPr>
            <w:t>Suite 20, 42-44 King Street, Caboolture Q</w:t>
          </w:r>
          <w:r>
            <w:rPr>
              <w:rFonts w:eastAsiaTheme="minorEastAsia"/>
              <w:noProof/>
              <w:color w:val="17365D"/>
              <w:sz w:val="18"/>
              <w:szCs w:val="18"/>
              <w:lang w:val="en-US" w:eastAsia="en-AU"/>
            </w:rPr>
            <w:t>LD</w:t>
          </w:r>
          <w:r w:rsidRPr="00D24BD2">
            <w:rPr>
              <w:rFonts w:eastAsiaTheme="minorEastAsia"/>
              <w:noProof/>
              <w:color w:val="17365D"/>
              <w:sz w:val="18"/>
              <w:szCs w:val="18"/>
              <w:lang w:val="en-US" w:eastAsia="en-AU"/>
            </w:rPr>
            <w:t xml:space="preserve">.  4510 </w:t>
          </w:r>
          <w:r w:rsidRPr="009041E4">
            <w:rPr>
              <w:color w:val="17365D"/>
              <w:sz w:val="18"/>
              <w:szCs w:val="18"/>
            </w:rPr>
            <w:t>|</w:t>
          </w:r>
        </w:p>
        <w:p w:rsidR="00B01540" w:rsidRPr="00D24BD2" w:rsidRDefault="00B01540" w:rsidP="00A2650D">
          <w:pPr>
            <w:jc w:val="center"/>
            <w:rPr>
              <w:rFonts w:eastAsiaTheme="minorEastAsia"/>
              <w:noProof/>
              <w:color w:val="17365D"/>
              <w:sz w:val="18"/>
              <w:szCs w:val="18"/>
              <w:lang w:val="en-US" w:eastAsia="en-AU"/>
            </w:rPr>
          </w:pPr>
          <w:r w:rsidRPr="00D24BD2">
            <w:rPr>
              <w:rFonts w:eastAsiaTheme="minorEastAsia"/>
              <w:noProof/>
              <w:color w:val="17365D"/>
              <w:sz w:val="18"/>
              <w:szCs w:val="18"/>
              <w:lang w:val="en-US" w:eastAsia="en-AU"/>
            </w:rPr>
            <w:t>PO Box 171 Caboolture  Q</w:t>
          </w:r>
          <w:r>
            <w:rPr>
              <w:rFonts w:eastAsiaTheme="minorEastAsia"/>
              <w:noProof/>
              <w:color w:val="17365D"/>
              <w:sz w:val="18"/>
              <w:szCs w:val="18"/>
              <w:lang w:val="en-US" w:eastAsia="en-AU"/>
            </w:rPr>
            <w:t>LD</w:t>
          </w:r>
          <w:r w:rsidRPr="00D24BD2">
            <w:rPr>
              <w:rFonts w:eastAsiaTheme="minorEastAsia"/>
              <w:noProof/>
              <w:color w:val="17365D"/>
              <w:sz w:val="18"/>
              <w:szCs w:val="18"/>
              <w:lang w:val="en-US" w:eastAsia="en-AU"/>
            </w:rPr>
            <w:t>  4510</w:t>
          </w:r>
        </w:p>
        <w:p w:rsidR="00B01540" w:rsidRDefault="00B01540" w:rsidP="00A2650D">
          <w:pPr>
            <w:jc w:val="center"/>
            <w:rPr>
              <w:color w:val="17365D"/>
              <w:sz w:val="18"/>
              <w:szCs w:val="18"/>
            </w:rPr>
          </w:pPr>
          <w:r w:rsidRPr="00D24BD2">
            <w:rPr>
              <w:rFonts w:eastAsiaTheme="minorEastAsia"/>
              <w:noProof/>
              <w:color w:val="17365D"/>
              <w:sz w:val="18"/>
              <w:szCs w:val="18"/>
              <w:lang w:val="en-US" w:eastAsia="en-AU"/>
            </w:rPr>
            <w:t>Ph: 5499 4240 | Fax: 5499 0138</w:t>
          </w:r>
          <w:r w:rsidRPr="009041E4">
            <w:rPr>
              <w:color w:val="17365D"/>
              <w:sz w:val="18"/>
              <w:szCs w:val="18"/>
            </w:rPr>
            <w:t xml:space="preserve">| </w:t>
          </w:r>
          <w:hyperlink r:id="rId1" w:history="1">
            <w:r w:rsidRPr="002533C9">
              <w:rPr>
                <w:rStyle w:val="Hyperlink"/>
                <w:sz w:val="18"/>
                <w:szCs w:val="18"/>
              </w:rPr>
              <w:t>www.qyil.com.au</w:t>
            </w:r>
          </w:hyperlink>
        </w:p>
        <w:p w:rsidR="00B01540" w:rsidRDefault="00B01540" w:rsidP="00A2650D">
          <w:pPr>
            <w:jc w:val="center"/>
            <w:rPr>
              <w:color w:val="17365D"/>
              <w:sz w:val="18"/>
              <w:szCs w:val="18"/>
            </w:rPr>
          </w:pPr>
        </w:p>
      </w:tc>
      <w:tc>
        <w:tcPr>
          <w:tcW w:w="5129" w:type="dxa"/>
        </w:tcPr>
        <w:p w:rsidR="00B01540" w:rsidRDefault="00B01540" w:rsidP="00A2650D">
          <w:pPr>
            <w:jc w:val="center"/>
            <w:rPr>
              <w:color w:val="17365D"/>
              <w:sz w:val="18"/>
              <w:szCs w:val="18"/>
            </w:rPr>
          </w:pPr>
          <w:r>
            <w:rPr>
              <w:color w:val="17365D"/>
              <w:sz w:val="18"/>
              <w:szCs w:val="18"/>
            </w:rPr>
            <w:t>Sunshine Coast Office</w:t>
          </w:r>
        </w:p>
        <w:p w:rsidR="00B01540" w:rsidRPr="009041E4" w:rsidRDefault="00B01540" w:rsidP="00A2650D">
          <w:pPr>
            <w:jc w:val="center"/>
            <w:rPr>
              <w:color w:val="17365D"/>
              <w:sz w:val="18"/>
              <w:szCs w:val="18"/>
            </w:rPr>
          </w:pPr>
          <w:r w:rsidRPr="009041E4">
            <w:rPr>
              <w:color w:val="17365D"/>
              <w:sz w:val="18"/>
              <w:szCs w:val="18"/>
            </w:rPr>
            <w:t>Unit 1 Level 2, 43 Primary School Court Maroochydore QLD 4558 | P.O Box 477, Buderim QLD 4556</w:t>
          </w:r>
        </w:p>
        <w:p w:rsidR="00B01540" w:rsidRDefault="00B01540" w:rsidP="00A2650D">
          <w:pPr>
            <w:jc w:val="center"/>
            <w:rPr>
              <w:color w:val="17365D"/>
              <w:sz w:val="18"/>
              <w:szCs w:val="18"/>
            </w:rPr>
          </w:pPr>
          <w:r w:rsidRPr="009041E4">
            <w:rPr>
              <w:color w:val="17365D"/>
              <w:sz w:val="18"/>
              <w:szCs w:val="18"/>
            </w:rPr>
            <w:t xml:space="preserve">Ph: 5443 4322 | Fax: 5451 1533 | </w:t>
          </w:r>
          <w:hyperlink r:id="rId2" w:history="1">
            <w:r w:rsidRPr="002533C9">
              <w:rPr>
                <w:rStyle w:val="Hyperlink"/>
                <w:sz w:val="18"/>
                <w:szCs w:val="18"/>
              </w:rPr>
              <w:t>www.qyil.com.au</w:t>
            </w:r>
          </w:hyperlink>
          <w:r>
            <w:rPr>
              <w:color w:val="17365D"/>
              <w:sz w:val="18"/>
              <w:szCs w:val="18"/>
            </w:rPr>
            <w:t xml:space="preserve"> </w:t>
          </w:r>
        </w:p>
      </w:tc>
    </w:tr>
  </w:tbl>
  <w:p w:rsidR="00B01540" w:rsidRDefault="00B015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30A" w:rsidRDefault="0035730A" w:rsidP="00C82FAA">
      <w:pPr>
        <w:spacing w:after="0" w:line="240" w:lineRule="auto"/>
      </w:pPr>
      <w:r>
        <w:separator/>
      </w:r>
    </w:p>
  </w:footnote>
  <w:footnote w:type="continuationSeparator" w:id="0">
    <w:p w:rsidR="0035730A" w:rsidRDefault="0035730A" w:rsidP="00C82F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FAA" w:rsidRPr="00C82FAA" w:rsidRDefault="00354A83" w:rsidP="00C82FAA">
    <w:pPr>
      <w:pStyle w:val="Header"/>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540" w:rsidRDefault="00AD00F2" w:rsidP="00B01540">
    <w:pPr>
      <w:pStyle w:val="Header"/>
      <w:tabs>
        <w:tab w:val="clear" w:pos="4513"/>
        <w:tab w:val="clear" w:pos="9026"/>
        <w:tab w:val="left" w:pos="6660"/>
      </w:tabs>
    </w:pPr>
    <w:r>
      <w:rPr>
        <w:noProof/>
        <w:lang w:val="en-US" w:eastAsia="zh-TW"/>
      </w:rPr>
      <w:pict>
        <v:shapetype id="_x0000_t202" coordsize="21600,21600" o:spt="202" path="m,l,21600r21600,l21600,xe">
          <v:stroke joinstyle="miter"/>
          <v:path gradientshapeok="t" o:connecttype="rect"/>
        </v:shapetype>
        <v:shape id="_x0000_s13315" type="#_x0000_t202" style="position:absolute;margin-left:-18.65pt;margin-top:-19.95pt;width:299.35pt;height:51.3pt;z-index:251665408;mso-width-relative:margin;mso-height-relative:margin" stroked="f">
          <v:textbox>
            <w:txbxContent>
              <w:p w:rsidR="00537484" w:rsidRDefault="00537484">
                <w:r w:rsidRPr="00537484">
                  <w:rPr>
                    <w:noProof/>
                    <w:lang w:val="en-US"/>
                  </w:rPr>
                  <w:drawing>
                    <wp:inline distT="0" distB="0" distL="0" distR="0">
                      <wp:extent cx="3590925" cy="552450"/>
                      <wp:effectExtent l="19050" t="0" r="9525" b="0"/>
                      <wp:docPr id="4" name="Picture 4"/>
                      <wp:cNvGraphicFramePr/>
                      <a:graphic xmlns:a="http://schemas.openxmlformats.org/drawingml/2006/main">
                        <a:graphicData uri="http://schemas.openxmlformats.org/drawingml/2006/picture">
                          <pic:pic xmlns:pic="http://schemas.openxmlformats.org/drawingml/2006/picture">
                            <pic:nvPicPr>
                              <pic:cNvPr id="0" name="Picture 1" descr="QYIL-header"/>
                              <pic:cNvPicPr>
                                <a:picLocks noChangeAspect="1" noChangeArrowheads="1"/>
                              </pic:cNvPicPr>
                            </pic:nvPicPr>
                            <pic:blipFill>
                              <a:blip r:embed="rId1" cstate="print"/>
                              <a:srcRect/>
                              <a:stretch>
                                <a:fillRect/>
                              </a:stretch>
                            </pic:blipFill>
                            <pic:spPr bwMode="auto">
                              <a:xfrm>
                                <a:off x="0" y="0"/>
                                <a:ext cx="3595033" cy="553082"/>
                              </a:xfrm>
                              <a:prstGeom prst="rect">
                                <a:avLst/>
                              </a:prstGeom>
                              <a:noFill/>
                              <a:ln w="9525">
                                <a:noFill/>
                                <a:miter lim="800000"/>
                                <a:headEnd/>
                                <a:tailEnd/>
                              </a:ln>
                            </pic:spPr>
                          </pic:pic>
                        </a:graphicData>
                      </a:graphic>
                    </wp:inline>
                  </w:drawing>
                </w:r>
              </w:p>
            </w:txbxContent>
          </v:textbox>
        </v:shape>
      </w:pict>
    </w:r>
    <w:r>
      <w:rPr>
        <w:noProof/>
        <w:lang w:val="en-US" w:eastAsia="zh-TW"/>
      </w:rPr>
      <w:pict>
        <v:shape id="_x0000_s13313" type="#_x0000_t202" style="position:absolute;margin-left:310.55pt;margin-top:-14.7pt;width:244.55pt;height:42.45pt;z-index:251663360;mso-height-percent:200;mso-height-percent:200;mso-width-relative:margin;mso-height-relative:margin" stroked="f">
          <v:textbox style="mso-next-textbox:#_x0000_s13313;mso-fit-shape-to-text:t">
            <w:txbxContent>
              <w:p w:rsidR="00537484" w:rsidRDefault="00537484">
                <w:r w:rsidRPr="00537484">
                  <w:rPr>
                    <w:noProof/>
                    <w:lang w:val="en-US"/>
                  </w:rPr>
                  <w:drawing>
                    <wp:inline distT="0" distB="0" distL="0" distR="0">
                      <wp:extent cx="2743200" cy="2857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2" descr="PB_logo_rgb"/>
                              <pic:cNvPicPr>
                                <a:picLocks noChangeAspect="1" noChangeArrowheads="1"/>
                              </pic:cNvPicPr>
                            </pic:nvPicPr>
                            <pic:blipFill>
                              <a:blip r:embed="rId2" cstate="print"/>
                              <a:srcRect/>
                              <a:stretch>
                                <a:fillRect/>
                              </a:stretch>
                            </pic:blipFill>
                            <pic:spPr bwMode="auto">
                              <a:xfrm>
                                <a:off x="0" y="0"/>
                                <a:ext cx="2743200" cy="285750"/>
                              </a:xfrm>
                              <a:prstGeom prst="rect">
                                <a:avLst/>
                              </a:prstGeom>
                              <a:noFill/>
                              <a:ln w="9525">
                                <a:noFill/>
                                <a:miter lim="800000"/>
                                <a:headEnd/>
                                <a:tailEnd/>
                              </a:ln>
                            </pic:spPr>
                          </pic:pic>
                        </a:graphicData>
                      </a:graphic>
                    </wp:inline>
                  </w:drawing>
                </w:r>
              </w:p>
            </w:txbxContent>
          </v:textbox>
        </v:shape>
      </w:pict>
    </w:r>
    <w:r w:rsidR="00B01540">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6386"/>
    <o:shapelayout v:ext="edit">
      <o:idmap v:ext="edit" data="13"/>
    </o:shapelayout>
  </w:hdrShapeDefaults>
  <w:footnotePr>
    <w:footnote w:id="-1"/>
    <w:footnote w:id="0"/>
  </w:footnotePr>
  <w:endnotePr>
    <w:endnote w:id="-1"/>
    <w:endnote w:id="0"/>
  </w:endnotePr>
  <w:compat/>
  <w:rsids>
    <w:rsidRoot w:val="00BA1B71"/>
    <w:rsid w:val="00057C7C"/>
    <w:rsid w:val="00070BC4"/>
    <w:rsid w:val="001A3378"/>
    <w:rsid w:val="0023323E"/>
    <w:rsid w:val="002A5D94"/>
    <w:rsid w:val="00350944"/>
    <w:rsid w:val="00354A83"/>
    <w:rsid w:val="0035730A"/>
    <w:rsid w:val="003E1246"/>
    <w:rsid w:val="00537484"/>
    <w:rsid w:val="00924360"/>
    <w:rsid w:val="00A50BB7"/>
    <w:rsid w:val="00AD00F2"/>
    <w:rsid w:val="00B01540"/>
    <w:rsid w:val="00B11EE4"/>
    <w:rsid w:val="00BA1B71"/>
    <w:rsid w:val="00BC0471"/>
    <w:rsid w:val="00BE3FA0"/>
    <w:rsid w:val="00C20237"/>
    <w:rsid w:val="00C3376C"/>
    <w:rsid w:val="00C45068"/>
    <w:rsid w:val="00C82FAA"/>
    <w:rsid w:val="00C84075"/>
    <w:rsid w:val="00DA7CBB"/>
    <w:rsid w:val="00DF22B3"/>
    <w:rsid w:val="00E31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B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23E"/>
    <w:rPr>
      <w:rFonts w:ascii="Tahoma" w:hAnsi="Tahoma" w:cs="Tahoma"/>
      <w:sz w:val="16"/>
      <w:szCs w:val="16"/>
    </w:rPr>
  </w:style>
  <w:style w:type="table" w:styleId="TableGrid">
    <w:name w:val="Table Grid"/>
    <w:basedOn w:val="TableNormal"/>
    <w:uiPriority w:val="59"/>
    <w:rsid w:val="002332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82FA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82FAA"/>
  </w:style>
  <w:style w:type="paragraph" w:styleId="Footer">
    <w:name w:val="footer"/>
    <w:basedOn w:val="Normal"/>
    <w:link w:val="FooterChar"/>
    <w:uiPriority w:val="99"/>
    <w:semiHidden/>
    <w:unhideWhenUsed/>
    <w:rsid w:val="00C82FA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82FAA"/>
  </w:style>
  <w:style w:type="character" w:styleId="Hyperlink">
    <w:name w:val="Hyperlink"/>
    <w:basedOn w:val="DefaultParagraphFont"/>
    <w:uiPriority w:val="99"/>
    <w:unhideWhenUsed/>
    <w:rsid w:val="00354A8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qyil.com.au" TargetMode="External"/><Relationship Id="rId1" Type="http://schemas.openxmlformats.org/officeDocument/2006/relationships/hyperlink" Target="http://www.qyil.com.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Admin\Templates\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Minutes Template</Template>
  <TotalTime>36</TotalTime>
  <Pages>2</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2011-10-20T03:44:00Z</dcterms:created>
  <dcterms:modified xsi:type="dcterms:W3CDTF">2011-10-20T04:20:00Z</dcterms:modified>
</cp:coreProperties>
</file>